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20"/>
        <w:gridCol w:w="4320"/>
      </w:tblGrid>
      <w:tr w:rsidR="00F87472">
        <w:tc>
          <w:tcPr>
            <w:tcW w:w="4320" w:type="dxa"/>
          </w:tcPr>
          <w:p w:rsidR="00F87472" w:rsidRDefault="006111DA">
            <w:r>
              <w:rPr>
                <w:noProof/>
                <w:lang w:val="it-IT" w:eastAsia="it-IT"/>
              </w:rPr>
              <w:drawing>
                <wp:inline distT="0" distB="0" distL="0" distR="0">
                  <wp:extent cx="1828800" cy="1011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3579cf-050a-40d4-88fc-365f2eb70caf.png"/>
                          <pic:cNvPicPr/>
                        </pic:nvPicPr>
                        <pic:blipFill>
                          <a:blip r:embed="rId6"/>
                          <a:stretch>
                            <a:fillRect/>
                          </a:stretch>
                        </pic:blipFill>
                        <pic:spPr>
                          <a:xfrm>
                            <a:off x="0" y="0"/>
                            <a:ext cx="1828800" cy="1011290"/>
                          </a:xfrm>
                          <a:prstGeom prst="rect">
                            <a:avLst/>
                          </a:prstGeom>
                        </pic:spPr>
                      </pic:pic>
                    </a:graphicData>
                  </a:graphic>
                </wp:inline>
              </w:drawing>
            </w:r>
          </w:p>
        </w:tc>
        <w:tc>
          <w:tcPr>
            <w:tcW w:w="4320" w:type="dxa"/>
          </w:tcPr>
          <w:p w:rsidR="00F87472" w:rsidRDefault="006111DA">
            <w:pPr>
              <w:jc w:val="right"/>
            </w:pPr>
            <w:r>
              <w:rPr>
                <w:noProof/>
                <w:lang w:val="it-IT" w:eastAsia="it-IT"/>
              </w:rPr>
              <w:drawing>
                <wp:inline distT="0" distB="0" distL="0" distR="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2b7cdb-e568-418d-a8a6-5d10180233a3.png"/>
                          <pic:cNvPicPr/>
                        </pic:nvPicPr>
                        <pic:blipFill>
                          <a:blip r:embed="rId7"/>
                          <a:stretch>
                            <a:fillRect/>
                          </a:stretch>
                        </pic:blipFill>
                        <pic:spPr>
                          <a:xfrm>
                            <a:off x="0" y="0"/>
                            <a:ext cx="1371600" cy="1371600"/>
                          </a:xfrm>
                          <a:prstGeom prst="rect">
                            <a:avLst/>
                          </a:prstGeom>
                        </pic:spPr>
                      </pic:pic>
                    </a:graphicData>
                  </a:graphic>
                </wp:inline>
              </w:drawing>
            </w:r>
          </w:p>
        </w:tc>
      </w:tr>
    </w:tbl>
    <w:p w:rsidR="00F87472" w:rsidRDefault="006111DA">
      <w:r>
        <w:t>ASSOBALNEARI ITALIA</w:t>
      </w:r>
      <w:r>
        <w:br/>
        <w:t>Aderente a Federturismo Confindustria</w:t>
      </w:r>
      <w:r>
        <w:br/>
        <w:t>Email: assobalneariitalia@gmail.com</w:t>
      </w:r>
    </w:p>
    <w:p w:rsidR="00223E48" w:rsidRPr="00831A54" w:rsidRDefault="006111DA" w:rsidP="00831A54">
      <w:pPr>
        <w:jc w:val="center"/>
      </w:pPr>
      <w:r>
        <w:br/>
      </w:r>
      <w:r w:rsidR="00223E48" w:rsidRPr="00223E48">
        <w:rPr>
          <w:rFonts w:eastAsia="Times New Roman" w:cs="Times New Roman"/>
          <w:szCs w:val="24"/>
          <w:bdr w:val="none" w:sz="0" w:space="0" w:color="auto" w:frame="1"/>
          <w:lang w:val="it-IT" w:eastAsia="it-IT"/>
        </w:rPr>
        <w:t>MEMORIA ILLUSTRATIVA DELLO STATO DELLE CONCESSIONI DEMANIALI MARITTIME ITALIANE - RICHIESTA CONVOCAZIONE PRESSO LA COMMISSIONE U.E. E GLI ALTRI ORGANI EUROPEI.</w:t>
      </w:r>
    </w:p>
    <w:p w:rsidR="00223E48" w:rsidRPr="00223E48" w:rsidRDefault="00223E48" w:rsidP="00223E48">
      <w:pPr>
        <w:spacing w:after="0" w:line="240" w:lineRule="auto"/>
        <w:textAlignment w:val="baseline"/>
        <w:rPr>
          <w:rFonts w:eastAsia="Times New Roman" w:cs="Times New Roman"/>
          <w:szCs w:val="24"/>
          <w:lang w:val="it-IT" w:eastAsia="it-IT"/>
        </w:rPr>
      </w:pPr>
    </w:p>
    <w:p w:rsidR="00223E48" w:rsidRDefault="00223E48" w:rsidP="00223E48">
      <w:pPr>
        <w:spacing w:after="0" w:line="240" w:lineRule="auto"/>
        <w:textAlignment w:val="baseline"/>
        <w:rPr>
          <w:rFonts w:eastAsia="Times New Roman" w:cs="Times New Roman"/>
          <w:szCs w:val="24"/>
          <w:bdr w:val="none" w:sz="0" w:space="0" w:color="auto" w:frame="1"/>
          <w:lang w:val="it-IT" w:eastAsia="it-IT"/>
        </w:rPr>
      </w:pPr>
      <w:r w:rsidRPr="00223E48">
        <w:rPr>
          <w:rFonts w:eastAsia="Times New Roman" w:cs="Times New Roman"/>
          <w:szCs w:val="24"/>
          <w:bdr w:val="none" w:sz="0" w:space="0" w:color="auto" w:frame="1"/>
          <w:lang w:val="it-IT" w:eastAsia="it-IT"/>
        </w:rPr>
        <w:t xml:space="preserve">Oggetto: Applicazione della Direttiva 2006/123/CE (Direttiva </w:t>
      </w:r>
      <w:proofErr w:type="spellStart"/>
      <w:r w:rsidRPr="00223E48">
        <w:rPr>
          <w:rFonts w:eastAsia="Times New Roman" w:cs="Times New Roman"/>
          <w:szCs w:val="24"/>
          <w:bdr w:val="none" w:sz="0" w:space="0" w:color="auto" w:frame="1"/>
          <w:lang w:val="it-IT" w:eastAsia="it-IT"/>
        </w:rPr>
        <w:t>Bolkestein</w:t>
      </w:r>
      <w:proofErr w:type="spellEnd"/>
      <w:r w:rsidRPr="00223E48">
        <w:rPr>
          <w:rFonts w:eastAsia="Times New Roman" w:cs="Times New Roman"/>
          <w:szCs w:val="24"/>
          <w:bdr w:val="none" w:sz="0" w:space="0" w:color="auto" w:frame="1"/>
          <w:lang w:val="it-IT" w:eastAsia="it-IT"/>
        </w:rPr>
        <w:t>) alle concessioni demaniali marittime – richiesta di valutazione equilibrata per il settore balneare italiano</w:t>
      </w:r>
    </w:p>
    <w:p w:rsidR="00223E48" w:rsidRDefault="00223E48" w:rsidP="00223E48">
      <w:pPr>
        <w:spacing w:after="0" w:line="240" w:lineRule="auto"/>
        <w:textAlignment w:val="baseline"/>
        <w:rPr>
          <w:rFonts w:eastAsia="Times New Roman" w:cs="Times New Roman"/>
          <w:szCs w:val="24"/>
          <w:bdr w:val="none" w:sz="0" w:space="0" w:color="auto" w:frame="1"/>
          <w:lang w:val="it-IT" w:eastAsia="it-IT"/>
        </w:rPr>
      </w:pP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Alla cortese attenzione di:</w:t>
      </w:r>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Sig.</w:t>
      </w:r>
      <w:r w:rsidRPr="00223E48">
        <w:rPr>
          <w:rFonts w:eastAsia="Times New Roman" w:cs="Times New Roman"/>
          <w:szCs w:val="24"/>
          <w:bdr w:val="none" w:sz="0" w:space="0" w:color="auto" w:frame="1"/>
          <w:lang w:val="it-IT" w:eastAsia="it-IT"/>
        </w:rPr>
        <w:t xml:space="preserve"> </w:t>
      </w:r>
      <w:proofErr w:type="spellStart"/>
      <w:r w:rsidRPr="00223E48">
        <w:rPr>
          <w:rFonts w:eastAsia="Times New Roman" w:cs="Times New Roman"/>
          <w:b/>
          <w:szCs w:val="24"/>
          <w:bdr w:val="none" w:sz="0" w:space="0" w:color="auto" w:frame="1"/>
          <w:lang w:val="it-IT" w:eastAsia="it-IT"/>
        </w:rPr>
        <w:t>Apostolos</w:t>
      </w:r>
      <w:proofErr w:type="spellEnd"/>
      <w:r w:rsidRPr="00223E48">
        <w:rPr>
          <w:rFonts w:eastAsia="Times New Roman" w:cs="Times New Roman"/>
          <w:b/>
          <w:szCs w:val="24"/>
          <w:bdr w:val="none" w:sz="0" w:space="0" w:color="auto" w:frame="1"/>
          <w:lang w:val="it-IT" w:eastAsia="it-IT"/>
        </w:rPr>
        <w:t xml:space="preserve"> </w:t>
      </w:r>
      <w:proofErr w:type="spellStart"/>
      <w:r w:rsidRPr="00223E48">
        <w:rPr>
          <w:rFonts w:eastAsia="Times New Roman" w:cs="Times New Roman"/>
          <w:b/>
          <w:szCs w:val="24"/>
          <w:bdr w:val="none" w:sz="0" w:space="0" w:color="auto" w:frame="1"/>
          <w:lang w:val="it-IT" w:eastAsia="it-IT"/>
        </w:rPr>
        <w:t>Tzitzikostas</w:t>
      </w:r>
      <w:proofErr w:type="spellEnd"/>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Commissario Europeo con delega al Turismo</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Commissione Europea</w:t>
      </w:r>
      <w:r w:rsidRPr="00223E48">
        <w:rPr>
          <w:rFonts w:eastAsia="Times New Roman" w:cs="Times New Roman"/>
          <w:szCs w:val="24"/>
          <w:lang w:val="it-IT" w:eastAsia="it-IT"/>
        </w:rPr>
        <w:br/>
      </w:r>
      <w:hyperlink r:id="rId8" w:tgtFrame="_blank" w:tooltip="Protetto da Outlook: https://www.google.com/maps/search/Rue+de+la+Loi%2FWetstraat+200?entry=gmail&amp;source=g. Fai clic o tocca per aprire il collegamento." w:history="1">
        <w:r w:rsidRPr="00223E48">
          <w:rPr>
            <w:rFonts w:eastAsia="Times New Roman" w:cs="Times New Roman"/>
            <w:color w:val="4285F4"/>
            <w:szCs w:val="24"/>
            <w:u w:val="single"/>
            <w:bdr w:val="none" w:sz="0" w:space="0" w:color="auto" w:frame="1"/>
            <w:lang w:val="it-IT" w:eastAsia="it-IT"/>
          </w:rPr>
          <w:t xml:space="preserve">Rue de la </w:t>
        </w:r>
        <w:proofErr w:type="spellStart"/>
        <w:r w:rsidRPr="00223E48">
          <w:rPr>
            <w:rFonts w:eastAsia="Times New Roman" w:cs="Times New Roman"/>
            <w:color w:val="4285F4"/>
            <w:szCs w:val="24"/>
            <w:u w:val="single"/>
            <w:bdr w:val="none" w:sz="0" w:space="0" w:color="auto" w:frame="1"/>
            <w:lang w:val="it-IT" w:eastAsia="it-IT"/>
          </w:rPr>
          <w:t>Loi</w:t>
        </w:r>
        <w:proofErr w:type="spellEnd"/>
        <w:r w:rsidRPr="00223E48">
          <w:rPr>
            <w:rFonts w:eastAsia="Times New Roman" w:cs="Times New Roman"/>
            <w:color w:val="4285F4"/>
            <w:szCs w:val="24"/>
            <w:u w:val="single"/>
            <w:bdr w:val="none" w:sz="0" w:space="0" w:color="auto" w:frame="1"/>
            <w:lang w:val="it-IT" w:eastAsia="it-IT"/>
          </w:rPr>
          <w:t>/</w:t>
        </w:r>
        <w:proofErr w:type="spellStart"/>
        <w:r w:rsidRPr="00223E48">
          <w:rPr>
            <w:rFonts w:eastAsia="Times New Roman" w:cs="Times New Roman"/>
            <w:color w:val="4285F4"/>
            <w:szCs w:val="24"/>
            <w:u w:val="single"/>
            <w:bdr w:val="none" w:sz="0" w:space="0" w:color="auto" w:frame="1"/>
            <w:lang w:val="it-IT" w:eastAsia="it-IT"/>
          </w:rPr>
          <w:t>Wetstraat</w:t>
        </w:r>
        <w:proofErr w:type="spellEnd"/>
        <w:r w:rsidRPr="00223E48">
          <w:rPr>
            <w:rFonts w:eastAsia="Times New Roman" w:cs="Times New Roman"/>
            <w:color w:val="4285F4"/>
            <w:szCs w:val="24"/>
            <w:u w:val="single"/>
            <w:bdr w:val="none" w:sz="0" w:space="0" w:color="auto" w:frame="1"/>
            <w:lang w:val="it-IT" w:eastAsia="it-IT"/>
          </w:rPr>
          <w:t xml:space="preserve"> 200</w:t>
        </w:r>
      </w:hyperlink>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1049 Bruxelles, Belgio</w:t>
      </w:r>
      <w:r w:rsidRPr="00223E48">
        <w:rPr>
          <w:rFonts w:eastAsia="Times New Roman" w:cs="Times New Roman"/>
          <w:szCs w:val="24"/>
          <w:lang w:val="it-IT" w:eastAsia="it-IT"/>
        </w:rPr>
        <w:br/>
      </w:r>
      <w:r w:rsidRPr="00223E48">
        <w:rPr>
          <w:rFonts w:eastAsia="Times New Roman" w:cs="Times New Roman"/>
          <w:szCs w:val="24"/>
          <w:lang w:val="it-IT" w:eastAsia="it-IT"/>
        </w:rPr>
        <w:br/>
      </w:r>
      <w:r>
        <w:rPr>
          <w:rFonts w:eastAsia="Times New Roman" w:cs="Times New Roman"/>
          <w:b/>
          <w:szCs w:val="24"/>
          <w:bdr w:val="none" w:sz="0" w:space="0" w:color="auto" w:frame="1"/>
          <w:lang w:val="it-IT" w:eastAsia="it-IT"/>
        </w:rPr>
        <w:t xml:space="preserve">1. </w:t>
      </w:r>
      <w:r w:rsidRPr="00223E48">
        <w:rPr>
          <w:rFonts w:eastAsia="Times New Roman" w:cs="Times New Roman"/>
          <w:b/>
          <w:szCs w:val="24"/>
          <w:bdr w:val="none" w:sz="0" w:space="0" w:color="auto" w:frame="1"/>
          <w:lang w:val="it-IT" w:eastAsia="it-IT"/>
        </w:rPr>
        <w:t>Introduzione</w:t>
      </w:r>
    </w:p>
    <w:p w:rsidR="00223E48" w:rsidRDefault="00223E48" w:rsidP="00223E48">
      <w:pPr>
        <w:spacing w:after="0" w:line="240" w:lineRule="auto"/>
        <w:textAlignment w:val="baseline"/>
        <w:rPr>
          <w:rFonts w:eastAsia="Times New Roman" w:cs="Times New Roman"/>
          <w:szCs w:val="24"/>
          <w:bdr w:val="none" w:sz="0" w:space="0" w:color="auto" w:frame="1"/>
          <w:lang w:val="it-IT" w:eastAsia="it-IT"/>
        </w:rPr>
      </w:pPr>
      <w:r w:rsidRPr="00223E48">
        <w:rPr>
          <w:rFonts w:eastAsia="Times New Roman" w:cs="Times New Roman"/>
          <w:szCs w:val="24"/>
          <w:bdr w:val="none" w:sz="0" w:space="0" w:color="auto" w:frame="1"/>
          <w:lang w:val="it-IT" w:eastAsia="it-IT"/>
        </w:rPr>
        <w:t xml:space="preserve">La presente memoria è rivolta all’attenzione della Commissione Europea e, in particolare, del Commissario con delega al Turismo, al fine di sollecitare un riesame politico e tecnico della disciplina applicabile alle concessioni demaniali marittime in Italia, in relazione alla Direttiva 2006/123/CE (cd. Direttiva </w:t>
      </w:r>
      <w:proofErr w:type="spellStart"/>
      <w:r w:rsidRPr="00223E48">
        <w:rPr>
          <w:rFonts w:eastAsia="Times New Roman" w:cs="Times New Roman"/>
          <w:szCs w:val="24"/>
          <w:bdr w:val="none" w:sz="0" w:space="0" w:color="auto" w:frame="1"/>
          <w:lang w:val="it-IT" w:eastAsia="it-IT"/>
        </w:rPr>
        <w:t>Bolkestein</w:t>
      </w:r>
      <w:proofErr w:type="spellEnd"/>
      <w:r w:rsidRPr="00223E48">
        <w:rPr>
          <w:rFonts w:eastAsia="Times New Roman" w:cs="Times New Roman"/>
          <w:szCs w:val="24"/>
          <w:bdr w:val="none" w:sz="0" w:space="0" w:color="auto" w:frame="1"/>
          <w:lang w:val="it-IT" w:eastAsia="it-IT"/>
        </w:rPr>
        <w:t>), e ai suoi effetti sul settore turistico balneare.</w:t>
      </w:r>
    </w:p>
    <w:p w:rsidR="00223E48" w:rsidRPr="00223E48" w:rsidRDefault="00223E48" w:rsidP="00223E48">
      <w:pPr>
        <w:rPr>
          <w:rFonts w:eastAsia="Times New Roman" w:cs="Times New Roman"/>
          <w:szCs w:val="24"/>
          <w:lang w:val="it-IT" w:eastAsia="it-IT"/>
        </w:rPr>
      </w:pPr>
      <w:proofErr w:type="spellStart"/>
      <w:r>
        <w:t>Assobalneari</w:t>
      </w:r>
      <w:proofErr w:type="spellEnd"/>
      <w:r>
        <w:t xml:space="preserve"> Italia è </w:t>
      </w:r>
      <w:proofErr w:type="spellStart"/>
      <w:r>
        <w:t>membro</w:t>
      </w:r>
      <w:proofErr w:type="spellEnd"/>
      <w:r>
        <w:t xml:space="preserve"> di </w:t>
      </w:r>
      <w:r>
        <w:rPr>
          <w:rStyle w:val="Enfasigrassetto"/>
        </w:rPr>
        <w:t>EFEBE</w:t>
      </w:r>
      <w:r>
        <w:t xml:space="preserve"> (European Federation of Beach Enterprises), la </w:t>
      </w:r>
      <w:proofErr w:type="spellStart"/>
      <w:r>
        <w:t>Federazione</w:t>
      </w:r>
      <w:proofErr w:type="spellEnd"/>
      <w:r>
        <w:t xml:space="preserve"> </w:t>
      </w:r>
      <w:proofErr w:type="spellStart"/>
      <w:r>
        <w:t>europea</w:t>
      </w:r>
      <w:proofErr w:type="spellEnd"/>
      <w:r>
        <w:t xml:space="preserve"> </w:t>
      </w:r>
      <w:proofErr w:type="spellStart"/>
      <w:r>
        <w:t>delle</w:t>
      </w:r>
      <w:proofErr w:type="spellEnd"/>
      <w:r>
        <w:t xml:space="preserve"> </w:t>
      </w:r>
      <w:proofErr w:type="spellStart"/>
      <w:r>
        <w:t>imprese</w:t>
      </w:r>
      <w:proofErr w:type="spellEnd"/>
      <w:r>
        <w:t xml:space="preserve"> </w:t>
      </w:r>
      <w:proofErr w:type="spellStart"/>
      <w:r>
        <w:t>balneari</w:t>
      </w:r>
      <w:proofErr w:type="spellEnd"/>
      <w:r>
        <w:t>,</w:t>
      </w:r>
      <w:r>
        <w:br/>
        <w:t xml:space="preserve">di cui lo </w:t>
      </w:r>
      <w:proofErr w:type="spellStart"/>
      <w:r>
        <w:t>scrivente</w:t>
      </w:r>
      <w:proofErr w:type="spellEnd"/>
      <w:r>
        <w:t xml:space="preserve">, </w:t>
      </w:r>
      <w:r>
        <w:rPr>
          <w:rStyle w:val="Enfasigrassetto"/>
        </w:rPr>
        <w:t xml:space="preserve">Fabrizio </w:t>
      </w:r>
      <w:proofErr w:type="spellStart"/>
      <w:r>
        <w:rPr>
          <w:rStyle w:val="Enfasigrassetto"/>
        </w:rPr>
        <w:t>Licordari</w:t>
      </w:r>
      <w:proofErr w:type="spellEnd"/>
      <w:r>
        <w:t xml:space="preserve">, è </w:t>
      </w:r>
      <w:proofErr w:type="spellStart"/>
      <w:r>
        <w:t>attualmente</w:t>
      </w:r>
      <w:proofErr w:type="spellEnd"/>
      <w:r>
        <w:t xml:space="preserve"> </w:t>
      </w:r>
      <w:proofErr w:type="spellStart"/>
      <w:r>
        <w:rPr>
          <w:rStyle w:val="Enfasigrassetto"/>
        </w:rPr>
        <w:t>Coordinatore</w:t>
      </w:r>
      <w:proofErr w:type="spellEnd"/>
      <w:r>
        <w:rPr>
          <w:rStyle w:val="Enfasigrassetto"/>
        </w:rPr>
        <w:t xml:space="preserve"> </w:t>
      </w:r>
      <w:proofErr w:type="spellStart"/>
      <w:r>
        <w:rPr>
          <w:rStyle w:val="Enfasigrassetto"/>
        </w:rPr>
        <w:t>europeo</w:t>
      </w:r>
      <w:proofErr w:type="spellEnd"/>
      <w:r>
        <w:t>.</w:t>
      </w:r>
      <w:r>
        <w:br/>
      </w:r>
      <w:proofErr w:type="spellStart"/>
      <w:r>
        <w:t>L’associazione</w:t>
      </w:r>
      <w:proofErr w:type="spellEnd"/>
      <w:r>
        <w:t xml:space="preserve"> </w:t>
      </w:r>
      <w:proofErr w:type="spellStart"/>
      <w:r>
        <w:t>si</w:t>
      </w:r>
      <w:proofErr w:type="spellEnd"/>
      <w:r>
        <w:t xml:space="preserve"> fa </w:t>
      </w:r>
      <w:proofErr w:type="spellStart"/>
      <w:r>
        <w:t>dunque</w:t>
      </w:r>
      <w:proofErr w:type="spellEnd"/>
      <w:r>
        <w:t xml:space="preserve"> </w:t>
      </w:r>
      <w:proofErr w:type="spellStart"/>
      <w:r>
        <w:t>portavoce</w:t>
      </w:r>
      <w:proofErr w:type="spellEnd"/>
      <w:r>
        <w:t xml:space="preserve"> </w:t>
      </w:r>
      <w:proofErr w:type="spellStart"/>
      <w:r>
        <w:t>anche</w:t>
      </w:r>
      <w:proofErr w:type="spellEnd"/>
      <w:r>
        <w:t xml:space="preserve"> </w:t>
      </w:r>
      <w:proofErr w:type="spellStart"/>
      <w:r>
        <w:t>delle</w:t>
      </w:r>
      <w:proofErr w:type="spellEnd"/>
      <w:r>
        <w:t xml:space="preserve"> </w:t>
      </w:r>
      <w:proofErr w:type="spellStart"/>
      <w:r>
        <w:t>preoccupazioni</w:t>
      </w:r>
      <w:proofErr w:type="spellEnd"/>
      <w:r>
        <w:t xml:space="preserve"> </w:t>
      </w:r>
      <w:proofErr w:type="spellStart"/>
      <w:r>
        <w:t>condivise</w:t>
      </w:r>
      <w:proofErr w:type="spellEnd"/>
      <w:r>
        <w:t xml:space="preserve"> da </w:t>
      </w:r>
      <w:proofErr w:type="spellStart"/>
      <w:r>
        <w:t>altre</w:t>
      </w:r>
      <w:proofErr w:type="spellEnd"/>
      <w:r>
        <w:t xml:space="preserve"> </w:t>
      </w:r>
      <w:proofErr w:type="spellStart"/>
      <w:r>
        <w:t>realtà</w:t>
      </w:r>
      <w:proofErr w:type="spellEnd"/>
      <w:r>
        <w:t xml:space="preserve"> </w:t>
      </w:r>
      <w:proofErr w:type="spellStart"/>
      <w:r>
        <w:t>imprenditoriali</w:t>
      </w:r>
      <w:proofErr w:type="spellEnd"/>
      <w:r>
        <w:t xml:space="preserve"> </w:t>
      </w:r>
      <w:proofErr w:type="spellStart"/>
      <w:r>
        <w:t>costiere</w:t>
      </w:r>
      <w:proofErr w:type="spellEnd"/>
      <w:r>
        <w:t xml:space="preserve"> </w:t>
      </w:r>
      <w:proofErr w:type="spellStart"/>
      <w:r>
        <w:t>dell’Unione</w:t>
      </w:r>
      <w:proofErr w:type="spellEnd"/>
      <w:r>
        <w:t>.</w:t>
      </w:r>
      <w:r w:rsidRPr="00223E48">
        <w:rPr>
          <w:rFonts w:eastAsia="Times New Roman" w:cs="Times New Roman"/>
          <w:szCs w:val="24"/>
          <w:lang w:val="it-IT" w:eastAsia="it-IT"/>
        </w:rPr>
        <w:br/>
      </w:r>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2. Quadro generale: un settore strategico per l’economia e il lavoro</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Il comparto balneare italiano rappresenta un pilastro essenziale del sistema turistico europeo:</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lastRenderedPageBreak/>
        <w:t>- Oltre 30.000 concessioni attive lungo circa 8.000 km di costa;</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Decine di migliaia di micro e piccole imprese familiari, spesso attive da generazioni;</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Un indotto stimato in oltre 15 miliardi di euro l’anno, con occupazione per più di 100.000 persone;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Servizi essenziali per l’accessibilità, la sicurezza e la fruizione sostenibile delle risorse costiere.</w:t>
      </w:r>
      <w:r w:rsidRPr="00223E48">
        <w:rPr>
          <w:rFonts w:eastAsia="Times New Roman" w:cs="Times New Roman"/>
          <w:szCs w:val="24"/>
          <w:lang w:val="it-IT" w:eastAsia="it-IT"/>
        </w:rPr>
        <w:br/>
      </w:r>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 xml:space="preserve">3. Criticità dell’applicazione automatica della Direttiva </w:t>
      </w:r>
      <w:proofErr w:type="spellStart"/>
      <w:r w:rsidRPr="00223E48">
        <w:rPr>
          <w:rFonts w:eastAsia="Times New Roman" w:cs="Times New Roman"/>
          <w:b/>
          <w:szCs w:val="24"/>
          <w:bdr w:val="none" w:sz="0" w:space="0" w:color="auto" w:frame="1"/>
          <w:lang w:val="it-IT" w:eastAsia="it-IT"/>
        </w:rPr>
        <w:t>Bolkestein</w:t>
      </w:r>
      <w:proofErr w:type="spellEnd"/>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La piena e immediata applicazione della Direttiva ai titolari di concessioni balneari – senza distinzione territoriale, natu</w:t>
      </w:r>
      <w:r>
        <w:rPr>
          <w:rFonts w:eastAsia="Times New Roman" w:cs="Times New Roman"/>
          <w:szCs w:val="24"/>
          <w:bdr w:val="none" w:sz="0" w:space="0" w:color="auto" w:frame="1"/>
          <w:lang w:val="it-IT" w:eastAsia="it-IT"/>
        </w:rPr>
        <w:t>ra, contenuto, valore  della con</w:t>
      </w:r>
      <w:r w:rsidRPr="00223E48">
        <w:rPr>
          <w:rFonts w:eastAsia="Times New Roman" w:cs="Times New Roman"/>
          <w:szCs w:val="24"/>
          <w:bdr w:val="none" w:sz="0" w:space="0" w:color="auto" w:frame="1"/>
          <w:lang w:val="it-IT" w:eastAsia="it-IT"/>
        </w:rPr>
        <w:t xml:space="preserve">cessione– sta generando forti incertezze economiche, tensioni sociali e instabilità occupazionale. Tale problematica non riguarda solo l'Italia ma investe i Paesi del Mediterraneo. In tale contesto si assiste ad una forte penalizzazione di tali Paesi rispetto ai restanti </w:t>
      </w:r>
      <w:proofErr w:type="gramStart"/>
      <w:r w:rsidRPr="00223E48">
        <w:rPr>
          <w:rFonts w:eastAsia="Times New Roman" w:cs="Times New Roman"/>
          <w:szCs w:val="24"/>
          <w:bdr w:val="none" w:sz="0" w:space="0" w:color="auto" w:frame="1"/>
          <w:lang w:val="it-IT" w:eastAsia="it-IT"/>
        </w:rPr>
        <w:t>Stati  bagnati</w:t>
      </w:r>
      <w:proofErr w:type="gramEnd"/>
      <w:r w:rsidRPr="00223E48">
        <w:rPr>
          <w:rFonts w:eastAsia="Times New Roman" w:cs="Times New Roman"/>
          <w:szCs w:val="24"/>
          <w:bdr w:val="none" w:sz="0" w:space="0" w:color="auto" w:frame="1"/>
          <w:lang w:val="it-IT" w:eastAsia="it-IT"/>
        </w:rPr>
        <w:t xml:space="preserve"> dal mare, specie quelli del Nord dell'Europa ove il turismo balneare non è così percepito e sviluppato come nei primi, anzi non è neppure concepito. Tali asimmetrie si ripercuotono sulla condizione di reciprocità fra Stati membri, presupposto indispensabile per l'applicazione del diritto internazionale ed </w:t>
      </w:r>
      <w:proofErr w:type="spellStart"/>
      <w:r w:rsidRPr="00223E48">
        <w:rPr>
          <w:rFonts w:eastAsia="Times New Roman" w:cs="Times New Roman"/>
          <w:szCs w:val="24"/>
          <w:bdr w:val="none" w:sz="0" w:space="0" w:color="auto" w:frame="1"/>
          <w:lang w:val="it-IT" w:eastAsia="it-IT"/>
        </w:rPr>
        <w:t>unionale</w:t>
      </w:r>
      <w:proofErr w:type="spellEnd"/>
      <w:r w:rsidRPr="00223E48">
        <w:rPr>
          <w:rFonts w:eastAsia="Times New Roman" w:cs="Times New Roman"/>
          <w:szCs w:val="24"/>
          <w:bdr w:val="none" w:sz="0" w:space="0" w:color="auto" w:frame="1"/>
          <w:lang w:val="it-IT" w:eastAsia="it-IT"/>
        </w:rPr>
        <w:t xml:space="preserve"> in particolare.</w:t>
      </w:r>
    </w:p>
    <w:p w:rsidR="00F13398" w:rsidRDefault="00223E48" w:rsidP="00223E48">
      <w:pPr>
        <w:spacing w:after="0" w:line="240" w:lineRule="auto"/>
        <w:textAlignment w:val="baseline"/>
        <w:rPr>
          <w:rFonts w:eastAsia="Times New Roman" w:cs="Times New Roman"/>
          <w:szCs w:val="24"/>
          <w:bdr w:val="none" w:sz="0" w:space="0" w:color="auto" w:frame="1"/>
          <w:lang w:val="it-IT" w:eastAsia="it-IT"/>
        </w:rPr>
      </w:pPr>
      <w:r w:rsidRPr="00223E48">
        <w:rPr>
          <w:rFonts w:eastAsia="Times New Roman" w:cs="Times New Roman"/>
          <w:szCs w:val="24"/>
          <w:bdr w:val="none" w:sz="0" w:space="0" w:color="auto" w:frame="1"/>
          <w:lang w:val="it-IT" w:eastAsia="it-IT"/>
        </w:rPr>
        <w:t xml:space="preserve">In un tale quadro patologico,  si pretende di porre indiscriminatamente a gara le concessioni demaniali  con ingiusto vantaggio competitivo per le imprese che provengono da altre esperienze che possano partecipare alle gare dei Paesi in cui la balneazione è,  invece, un </w:t>
      </w:r>
      <w:proofErr w:type="spellStart"/>
      <w:r w:rsidRPr="00223E48">
        <w:rPr>
          <w:rFonts w:eastAsia="Times New Roman" w:cs="Times New Roman"/>
          <w:szCs w:val="24"/>
          <w:bdr w:val="none" w:sz="0" w:space="0" w:color="auto" w:frame="1"/>
          <w:lang w:val="it-IT" w:eastAsia="it-IT"/>
        </w:rPr>
        <w:t>asset</w:t>
      </w:r>
      <w:proofErr w:type="spellEnd"/>
      <w:r w:rsidRPr="00223E48">
        <w:rPr>
          <w:rFonts w:eastAsia="Times New Roman" w:cs="Times New Roman"/>
          <w:szCs w:val="24"/>
          <w:bdr w:val="none" w:sz="0" w:space="0" w:color="auto" w:frame="1"/>
          <w:lang w:val="it-IT" w:eastAsia="it-IT"/>
        </w:rPr>
        <w:t xml:space="preserve"> strategico dell'economia nazione senza che ciò valga al contrario.</w:t>
      </w:r>
      <w:r w:rsidRPr="00223E48">
        <w:rPr>
          <w:rFonts w:eastAsia="Times New Roman" w:cs="Times New Roman"/>
          <w:szCs w:val="24"/>
          <w:lang w:val="it-IT" w:eastAsia="it-IT"/>
        </w:rPr>
        <w:br/>
      </w:r>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4. Principi europei da bilanciare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Si richiede un bilanciamento tra i principi del Trattato e altri valori fondanti dell’UE, tra cui:</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Legittimo affidamento;</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Proporzionalità;</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Tutela delle microimprese;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Valore culturale e sociale del modello balneare italiano.</w:t>
      </w:r>
      <w:r w:rsidRPr="00223E48">
        <w:rPr>
          <w:rFonts w:eastAsia="Times New Roman" w:cs="Times New Roman"/>
          <w:szCs w:val="24"/>
          <w:lang w:val="it-IT" w:eastAsia="it-IT"/>
        </w:rPr>
        <w:br/>
      </w:r>
      <w:r w:rsidRPr="00223E48">
        <w:rPr>
          <w:rFonts w:eastAsia="Times New Roman" w:cs="Times New Roman"/>
          <w:szCs w:val="24"/>
          <w:lang w:val="it-IT" w:eastAsia="it-IT"/>
        </w:rPr>
        <w:br/>
      </w:r>
      <w:r w:rsidRPr="00223E48">
        <w:rPr>
          <w:rFonts w:eastAsia="Times New Roman" w:cs="Times New Roman"/>
          <w:b/>
          <w:szCs w:val="24"/>
          <w:bdr w:val="none" w:sz="0" w:space="0" w:color="auto" w:frame="1"/>
          <w:lang w:val="it-IT" w:eastAsia="it-IT"/>
        </w:rPr>
        <w:t>5. Richieste alla Commissione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1. Riconsiderare il campo di applicazione della Direttiva, escludendo i casi senza scarsità della risorsa come stabilito dalla Sentenza della CGUE n. 348-22;</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2.  Promuovere linee guida UE che permettano l’introduzione di criteri premiali per esperienza, investimenti e occupazione nei soli casi residuali ove la gara si rende</w:t>
      </w:r>
      <w:r w:rsidR="00F13398">
        <w:rPr>
          <w:rFonts w:eastAsia="Times New Roman" w:cs="Times New Roman"/>
          <w:szCs w:val="24"/>
          <w:bdr w:val="none" w:sz="0" w:space="0" w:color="auto" w:frame="1"/>
          <w:lang w:val="it-IT" w:eastAsia="it-IT"/>
        </w:rPr>
        <w:t xml:space="preserve">sse </w:t>
      </w:r>
      <w:r w:rsidRPr="00223E48">
        <w:rPr>
          <w:rFonts w:eastAsia="Times New Roman" w:cs="Times New Roman"/>
          <w:szCs w:val="24"/>
          <w:bdr w:val="none" w:sz="0" w:space="0" w:color="auto" w:frame="1"/>
          <w:lang w:val="it-IT" w:eastAsia="it-IT"/>
        </w:rPr>
        <w:t>necessaria;</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3. Favorire un percorso transitorio che tuteli servizi, legalità e continuità imprenditoriale.</w:t>
      </w:r>
    </w:p>
    <w:p w:rsidR="00223E48" w:rsidRPr="00223E48" w:rsidRDefault="00223E48" w:rsidP="00223E48">
      <w:pPr>
        <w:spacing w:after="0" w:line="240" w:lineRule="auto"/>
        <w:textAlignment w:val="baseline"/>
        <w:rPr>
          <w:rFonts w:eastAsia="Times New Roman" w:cs="Times New Roman"/>
          <w:szCs w:val="24"/>
          <w:lang w:val="it-IT" w:eastAsia="it-IT"/>
        </w:rPr>
      </w:pPr>
      <w:r w:rsidRPr="00223E48">
        <w:rPr>
          <w:rFonts w:eastAsia="Times New Roman" w:cs="Times New Roman"/>
          <w:szCs w:val="24"/>
          <w:lang w:val="it-IT" w:eastAsia="it-IT"/>
        </w:rPr>
        <w:br/>
      </w:r>
      <w:r w:rsidR="00F13398">
        <w:rPr>
          <w:rFonts w:eastAsia="Times New Roman" w:cs="Times New Roman"/>
          <w:b/>
          <w:szCs w:val="24"/>
          <w:bdr w:val="none" w:sz="0" w:space="0" w:color="auto" w:frame="1"/>
          <w:lang w:val="it-IT" w:eastAsia="it-IT"/>
        </w:rPr>
        <w:t>6</w:t>
      </w:r>
      <w:r w:rsidRPr="00223E48">
        <w:rPr>
          <w:rFonts w:eastAsia="Times New Roman" w:cs="Times New Roman"/>
          <w:b/>
          <w:szCs w:val="24"/>
          <w:bdr w:val="none" w:sz="0" w:space="0" w:color="auto" w:frame="1"/>
          <w:lang w:val="it-IT" w:eastAsia="it-IT"/>
        </w:rPr>
        <w:t>. Sulla scarsità della risorsa e l’interpretazione dell’art. 12 della Direttiva 2006/123/CE</w:t>
      </w:r>
      <w:r w:rsidRPr="00223E48">
        <w:rPr>
          <w:rFonts w:eastAsia="Times New Roman" w:cs="Times New Roman"/>
          <w:b/>
          <w:szCs w:val="24"/>
          <w:lang w:val="it-IT" w:eastAsia="it-IT"/>
        </w:rPr>
        <w:br/>
      </w:r>
      <w:r w:rsidRPr="00223E48">
        <w:rPr>
          <w:rFonts w:eastAsia="Times New Roman" w:cs="Times New Roman"/>
          <w:szCs w:val="24"/>
          <w:bdr w:val="none" w:sz="0" w:space="0" w:color="auto" w:frame="1"/>
          <w:lang w:val="it-IT" w:eastAsia="it-IT"/>
        </w:rPr>
        <w:t xml:space="preserve">È doveroso richiamare l’esito dei lavori del tavolo tecnico istituito presso la Presidenza del Consiglio dei Ministri italiana, che aveva il compito di analizzare la reale situazione </w:t>
      </w:r>
      <w:r w:rsidRPr="00223E48">
        <w:rPr>
          <w:rFonts w:eastAsia="Times New Roman" w:cs="Times New Roman"/>
          <w:szCs w:val="24"/>
          <w:bdr w:val="none" w:sz="0" w:space="0" w:color="auto" w:frame="1"/>
          <w:lang w:val="it-IT" w:eastAsia="it-IT"/>
        </w:rPr>
        <w:lastRenderedPageBreak/>
        <w:t>dell’utilizzo delle aree demaniali marittime.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Dalla relazione conclusiva del tavolo è emerso un dato significativo: soltanto il 33% delle coste italiane risulta attualmente occupato da concessioni balneari. Il restante 67% del litorale è disponibile e potenzialmente concedibile.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xml:space="preserve">Questo elemento è fondamentale per interpretare correttamente l’art. 12 della Direttiva </w:t>
      </w:r>
      <w:proofErr w:type="spellStart"/>
      <w:r w:rsidRPr="00223E48">
        <w:rPr>
          <w:rFonts w:eastAsia="Times New Roman" w:cs="Times New Roman"/>
          <w:szCs w:val="24"/>
          <w:bdr w:val="none" w:sz="0" w:space="0" w:color="auto" w:frame="1"/>
          <w:lang w:val="it-IT" w:eastAsia="it-IT"/>
        </w:rPr>
        <w:t>Bolkestein</w:t>
      </w:r>
      <w:proofErr w:type="spellEnd"/>
      <w:r w:rsidRPr="00223E48">
        <w:rPr>
          <w:rFonts w:eastAsia="Times New Roman" w:cs="Times New Roman"/>
          <w:szCs w:val="24"/>
          <w:bdr w:val="none" w:sz="0" w:space="0" w:color="auto" w:frame="1"/>
          <w:lang w:val="it-IT" w:eastAsia="it-IT"/>
        </w:rPr>
        <w:t>, che prevede l’obbligo di gara solo in presenza di una risorsa naturale ‘scarsa’. In assenza di tale scarsità accertata, l’obbligo di procedura competitiva non può essere considerato automaticamente applicabile.</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Pertanto, si ritiene opportuno che la Commissione Europea consideri questi dati ufficiali nella valutazione complessiva della disciplina da applicare, favorendo una maggiore flessibilità interpretativa e salvaguardando il principio di proporzionalità</w:t>
      </w:r>
    </w:p>
    <w:p w:rsidR="00223E48" w:rsidRPr="00223E48" w:rsidRDefault="00223E48" w:rsidP="00223E48">
      <w:pPr>
        <w:spacing w:after="0" w:line="240" w:lineRule="auto"/>
        <w:textAlignment w:val="baseline"/>
        <w:rPr>
          <w:rFonts w:eastAsia="Times New Roman" w:cs="Times New Roman"/>
          <w:szCs w:val="24"/>
          <w:lang w:val="it-IT" w:eastAsia="it-IT"/>
        </w:rPr>
      </w:pPr>
      <w:r w:rsidRPr="00223E48">
        <w:rPr>
          <w:rFonts w:eastAsia="Times New Roman" w:cs="Times New Roman"/>
          <w:szCs w:val="24"/>
          <w:bdr w:val="none" w:sz="0" w:space="0" w:color="auto" w:frame="1"/>
          <w:lang w:val="it-IT" w:eastAsia="it-IT"/>
        </w:rPr>
        <w:t xml:space="preserve">Infatti, non può essere condivisa la posizione di taluni uffici tecnici della Commissione che facendo leva sulle abnormi sentenze gemelle dell'adunanza Plenaria del Consiglio di </w:t>
      </w:r>
      <w:proofErr w:type="gramStart"/>
      <w:r w:rsidRPr="00223E48">
        <w:rPr>
          <w:rFonts w:eastAsia="Times New Roman" w:cs="Times New Roman"/>
          <w:szCs w:val="24"/>
          <w:bdr w:val="none" w:sz="0" w:space="0" w:color="auto" w:frame="1"/>
          <w:lang w:val="it-IT" w:eastAsia="it-IT"/>
        </w:rPr>
        <w:t>Stato  del</w:t>
      </w:r>
      <w:proofErr w:type="gramEnd"/>
      <w:r w:rsidRPr="00223E48">
        <w:rPr>
          <w:rFonts w:eastAsia="Times New Roman" w:cs="Times New Roman"/>
          <w:szCs w:val="24"/>
          <w:bdr w:val="none" w:sz="0" w:space="0" w:color="auto" w:frame="1"/>
          <w:lang w:val="it-IT" w:eastAsia="it-IT"/>
        </w:rPr>
        <w:t xml:space="preserve"> 2021 affermano apri</w:t>
      </w:r>
      <w:r w:rsidR="00F13398">
        <w:rPr>
          <w:rFonts w:eastAsia="Times New Roman" w:cs="Times New Roman"/>
          <w:szCs w:val="24"/>
          <w:bdr w:val="none" w:sz="0" w:space="0" w:color="auto" w:frame="1"/>
          <w:lang w:val="it-IT" w:eastAsia="it-IT"/>
        </w:rPr>
        <w:t>oristicamente</w:t>
      </w:r>
      <w:r w:rsidRPr="00223E48">
        <w:rPr>
          <w:rFonts w:eastAsia="Times New Roman" w:cs="Times New Roman"/>
          <w:szCs w:val="24"/>
          <w:bdr w:val="none" w:sz="0" w:space="0" w:color="auto" w:frame="1"/>
          <w:lang w:val="it-IT" w:eastAsia="it-IT"/>
        </w:rPr>
        <w:t xml:space="preserve"> che la risorsa  naturale è scarsa in tutta Italia.</w:t>
      </w:r>
    </w:p>
    <w:p w:rsidR="00223E48" w:rsidRPr="00223E48" w:rsidRDefault="00223E48" w:rsidP="00223E48">
      <w:pPr>
        <w:spacing w:after="0" w:line="240" w:lineRule="auto"/>
        <w:textAlignment w:val="baseline"/>
        <w:rPr>
          <w:rFonts w:eastAsia="Times New Roman" w:cs="Times New Roman"/>
          <w:szCs w:val="24"/>
          <w:lang w:val="it-IT" w:eastAsia="it-IT"/>
        </w:rPr>
      </w:pPr>
      <w:r w:rsidRPr="00223E48">
        <w:rPr>
          <w:rFonts w:eastAsia="Times New Roman" w:cs="Times New Roman"/>
          <w:szCs w:val="24"/>
          <w:bdr w:val="none" w:sz="0" w:space="0" w:color="auto" w:frame="1"/>
          <w:lang w:val="it-IT" w:eastAsia="it-IT"/>
        </w:rPr>
        <w:t>I principi espressi dell'adunanza Plenaria, e delle Sentenze successive che li hanno fedelmente richiamati, infatti, sono ora al vaglio del massimo grado di Giustizia italiano ovvero le Sezioni Unite della Suprema Corte di Cassazione ove pendono diversi giudizi promossi da concessionari pugliesi che chiedono l'annullamento di diverse sentenze del Consiglio di Stato.</w:t>
      </w:r>
    </w:p>
    <w:p w:rsidR="00223E48" w:rsidRPr="00223E48" w:rsidRDefault="00223E48" w:rsidP="00223E48">
      <w:pPr>
        <w:spacing w:after="0" w:line="240" w:lineRule="auto"/>
        <w:textAlignment w:val="baseline"/>
        <w:rPr>
          <w:rFonts w:eastAsia="Times New Roman" w:cs="Times New Roman"/>
          <w:szCs w:val="24"/>
          <w:lang w:val="it-IT" w:eastAsia="it-IT"/>
        </w:rPr>
      </w:pPr>
      <w:r w:rsidRPr="00223E48">
        <w:rPr>
          <w:rFonts w:eastAsia="Times New Roman" w:cs="Times New Roman"/>
          <w:szCs w:val="24"/>
          <w:bdr w:val="none" w:sz="0" w:space="0" w:color="auto" w:frame="1"/>
          <w:lang w:val="it-IT" w:eastAsia="it-IT"/>
        </w:rPr>
        <w:t>Le Sezion</w:t>
      </w:r>
      <w:r w:rsidR="00F13398">
        <w:rPr>
          <w:rFonts w:eastAsia="Times New Roman" w:cs="Times New Roman"/>
          <w:szCs w:val="24"/>
          <w:bdr w:val="none" w:sz="0" w:space="0" w:color="auto" w:frame="1"/>
          <w:lang w:val="it-IT" w:eastAsia="it-IT"/>
        </w:rPr>
        <w:t xml:space="preserve">i Unite, con buona pace del </w:t>
      </w:r>
      <w:proofErr w:type="spellStart"/>
      <w:r w:rsidR="00F13398">
        <w:rPr>
          <w:rFonts w:eastAsia="Times New Roman" w:cs="Times New Roman"/>
          <w:szCs w:val="24"/>
          <w:bdr w:val="none" w:sz="0" w:space="0" w:color="auto" w:frame="1"/>
          <w:lang w:val="it-IT" w:eastAsia="it-IT"/>
        </w:rPr>
        <w:t>Sign</w:t>
      </w:r>
      <w:proofErr w:type="spellEnd"/>
      <w:r w:rsidRPr="00223E48">
        <w:rPr>
          <w:rFonts w:eastAsia="Times New Roman" w:cs="Times New Roman"/>
          <w:szCs w:val="24"/>
          <w:bdr w:val="none" w:sz="0" w:space="0" w:color="auto" w:frame="1"/>
          <w:lang w:val="it-IT" w:eastAsia="it-IT"/>
        </w:rPr>
        <w:t>. Salvatore D'</w:t>
      </w:r>
      <w:proofErr w:type="spellStart"/>
      <w:r w:rsidRPr="00223E48">
        <w:rPr>
          <w:rFonts w:eastAsia="Times New Roman" w:cs="Times New Roman"/>
          <w:szCs w:val="24"/>
          <w:bdr w:val="none" w:sz="0" w:space="0" w:color="auto" w:frame="1"/>
          <w:lang w:val="it-IT" w:eastAsia="it-IT"/>
        </w:rPr>
        <w:t>Acunto</w:t>
      </w:r>
      <w:proofErr w:type="spellEnd"/>
      <w:r w:rsidRPr="00223E48">
        <w:rPr>
          <w:rFonts w:eastAsia="Times New Roman" w:cs="Times New Roman"/>
          <w:szCs w:val="24"/>
          <w:bdr w:val="none" w:sz="0" w:space="0" w:color="auto" w:frame="1"/>
          <w:lang w:val="it-IT" w:eastAsia="it-IT"/>
        </w:rPr>
        <w:t>, funzionario dell'organo tecnico della Commissione</w:t>
      </w:r>
      <w:r w:rsidR="00F13398">
        <w:rPr>
          <w:rFonts w:eastAsia="Times New Roman" w:cs="Times New Roman"/>
          <w:szCs w:val="24"/>
          <w:bdr w:val="none" w:sz="0" w:space="0" w:color="auto" w:frame="1"/>
          <w:lang w:val="it-IT" w:eastAsia="it-IT"/>
        </w:rPr>
        <w:t xml:space="preserve"> del Mercato Interno</w:t>
      </w:r>
      <w:r w:rsidRPr="00223E48">
        <w:rPr>
          <w:rFonts w:eastAsia="Times New Roman" w:cs="Times New Roman"/>
          <w:szCs w:val="24"/>
          <w:bdr w:val="none" w:sz="0" w:space="0" w:color="auto" w:frame="1"/>
          <w:lang w:val="it-IT" w:eastAsia="it-IT"/>
        </w:rPr>
        <w:t>, dovranno stabilire se è nel potere del giudice amministrativo dichiarare in termini generali e aprioristi che tutte le coste italiane sono definibili come affette da scarsità e da interesse transfrontaliero certo e se il meccanismo di assegnazione delle concessioni demaniali descritto dall'art.36 del codice della navigazione  e dall'art. 18 del relativo rego</w:t>
      </w:r>
      <w:r w:rsidR="00F13398">
        <w:rPr>
          <w:rFonts w:eastAsia="Times New Roman" w:cs="Times New Roman"/>
          <w:szCs w:val="24"/>
          <w:bdr w:val="none" w:sz="0" w:space="0" w:color="auto" w:frame="1"/>
          <w:lang w:val="it-IT" w:eastAsia="it-IT"/>
        </w:rPr>
        <w:t>lamento di esecuzione, abroga</w:t>
      </w:r>
      <w:r w:rsidRPr="00223E48">
        <w:rPr>
          <w:rFonts w:eastAsia="Times New Roman" w:cs="Times New Roman"/>
          <w:szCs w:val="24"/>
          <w:bdr w:val="none" w:sz="0" w:space="0" w:color="auto" w:frame="1"/>
          <w:lang w:val="it-IT" w:eastAsia="it-IT"/>
        </w:rPr>
        <w:t xml:space="preserve">to per "arcaicità" dal Consiglio di Stato, possa essere sostituito dal giudice amministrativo con un modello di proprio conio senza incorrere nella violazione, ex art. 111, 8° comma, </w:t>
      </w:r>
      <w:proofErr w:type="spellStart"/>
      <w:r w:rsidRPr="00223E48">
        <w:rPr>
          <w:rFonts w:eastAsia="Times New Roman" w:cs="Times New Roman"/>
          <w:szCs w:val="24"/>
          <w:bdr w:val="none" w:sz="0" w:space="0" w:color="auto" w:frame="1"/>
          <w:lang w:val="it-IT" w:eastAsia="it-IT"/>
        </w:rPr>
        <w:t>Cost</w:t>
      </w:r>
      <w:proofErr w:type="spellEnd"/>
      <w:r w:rsidRPr="00223E48">
        <w:rPr>
          <w:rFonts w:eastAsia="Times New Roman" w:cs="Times New Roman"/>
          <w:szCs w:val="24"/>
          <w:bdr w:val="none" w:sz="0" w:space="0" w:color="auto" w:frame="1"/>
          <w:lang w:val="it-IT" w:eastAsia="it-IT"/>
        </w:rPr>
        <w:t>., dei limiti esterni della giurisdizione per invasione del potere legislativo e delle funzioni della pubblica Amministrazione come sostenuto dai ricorrenti.</w:t>
      </w:r>
    </w:p>
    <w:p w:rsidR="00223E48" w:rsidRDefault="00831A54" w:rsidP="00223E48">
      <w:pPr>
        <w:spacing w:after="0" w:line="240" w:lineRule="auto"/>
        <w:textAlignment w:val="baseline"/>
        <w:rPr>
          <w:rFonts w:eastAsia="Times New Roman" w:cs="Times New Roman"/>
          <w:szCs w:val="24"/>
          <w:bdr w:val="none" w:sz="0" w:space="0" w:color="auto" w:frame="1"/>
          <w:lang w:val="it-IT" w:eastAsia="it-IT"/>
        </w:rPr>
      </w:pPr>
      <w:r>
        <w:rPr>
          <w:rFonts w:eastAsia="Times New Roman" w:cs="Times New Roman"/>
          <w:szCs w:val="24"/>
          <w:bdr w:val="none" w:sz="0" w:space="0" w:color="auto" w:frame="1"/>
          <w:lang w:val="it-IT" w:eastAsia="it-IT"/>
        </w:rPr>
        <w:t>A tal proposito va ricorda</w:t>
      </w:r>
      <w:r w:rsidR="00223E48" w:rsidRPr="00223E48">
        <w:rPr>
          <w:rFonts w:eastAsia="Times New Roman" w:cs="Times New Roman"/>
          <w:szCs w:val="24"/>
          <w:bdr w:val="none" w:sz="0" w:space="0" w:color="auto" w:frame="1"/>
          <w:lang w:val="it-IT" w:eastAsia="it-IT"/>
        </w:rPr>
        <w:t>to come la CGUE nella causa C-348/22 Comune di Ginosa ha affermato che gli Stati membri (non i funzionari della Commissione né il Consiglio di Stato italiano) godono di propria discrezionalità nel fissare i criteri per la determinazione della scarsità della risorsa naturale.</w:t>
      </w:r>
    </w:p>
    <w:p w:rsidR="00831A54" w:rsidRPr="00223E48" w:rsidRDefault="00831A54" w:rsidP="00223E48">
      <w:pPr>
        <w:spacing w:after="0" w:line="240" w:lineRule="auto"/>
        <w:textAlignment w:val="baseline"/>
        <w:rPr>
          <w:rFonts w:eastAsia="Times New Roman" w:cs="Times New Roman"/>
          <w:b/>
          <w:szCs w:val="24"/>
          <w:lang w:val="it-IT" w:eastAsia="it-IT"/>
        </w:rPr>
      </w:pPr>
    </w:p>
    <w:p w:rsidR="00831A54" w:rsidRDefault="00831A54" w:rsidP="00223E48">
      <w:pPr>
        <w:spacing w:after="0" w:line="240" w:lineRule="auto"/>
        <w:textAlignment w:val="baseline"/>
        <w:rPr>
          <w:rFonts w:eastAsia="Times New Roman" w:cs="Times New Roman"/>
          <w:szCs w:val="24"/>
          <w:bdr w:val="none" w:sz="0" w:space="0" w:color="auto" w:frame="1"/>
          <w:lang w:val="it-IT" w:eastAsia="it-IT"/>
        </w:rPr>
      </w:pPr>
      <w:r w:rsidRPr="00831A54">
        <w:rPr>
          <w:rFonts w:eastAsia="Times New Roman" w:cs="Times New Roman"/>
          <w:b/>
          <w:szCs w:val="24"/>
          <w:bdr w:val="none" w:sz="0" w:space="0" w:color="auto" w:frame="1"/>
          <w:lang w:val="it-IT" w:eastAsia="it-IT"/>
        </w:rPr>
        <w:t>7</w:t>
      </w:r>
      <w:r w:rsidR="00223E48" w:rsidRPr="00223E48">
        <w:rPr>
          <w:rFonts w:eastAsia="Times New Roman" w:cs="Times New Roman"/>
          <w:b/>
          <w:szCs w:val="24"/>
          <w:bdr w:val="none" w:sz="0" w:space="0" w:color="auto" w:frame="1"/>
          <w:lang w:val="it-IT" w:eastAsia="it-IT"/>
        </w:rPr>
        <w:t>. Il ruolo della politica nelle decisioni europee</w:t>
      </w:r>
      <w:r w:rsidR="00223E48" w:rsidRPr="00223E48">
        <w:rPr>
          <w:rFonts w:eastAsia="Times New Roman" w:cs="Times New Roman"/>
          <w:szCs w:val="24"/>
          <w:lang w:val="it-IT" w:eastAsia="it-IT"/>
        </w:rPr>
        <w:br/>
      </w:r>
      <w:r w:rsidR="00223E48" w:rsidRPr="00223E48">
        <w:rPr>
          <w:rFonts w:eastAsia="Times New Roman" w:cs="Times New Roman"/>
          <w:szCs w:val="24"/>
          <w:bdr w:val="none" w:sz="0" w:space="0" w:color="auto" w:frame="1"/>
          <w:lang w:val="it-IT" w:eastAsia="it-IT"/>
        </w:rPr>
        <w:t>È allora fondamentale che le decisioni della Commissione Europea, specie su temi di impatto sociale ed economico rilevante come quello delle concessioni demaniali marittime, siano orientate dalla volontà politica e dal confronto democratico con gli Stati membri, e non restino subalterne agli indirizzi elaborati in modo tecnico e non trasparente da alti funzionari che occupano posizioni di potere ed interessate all’interno dell’Istituzione.</w:t>
      </w:r>
      <w:r w:rsidR="00223E48" w:rsidRPr="00223E48">
        <w:rPr>
          <w:rFonts w:eastAsia="Times New Roman" w:cs="Times New Roman"/>
          <w:szCs w:val="24"/>
          <w:lang w:val="it-IT" w:eastAsia="it-IT"/>
        </w:rPr>
        <w:br/>
      </w:r>
      <w:r w:rsidR="00223E48" w:rsidRPr="00223E48">
        <w:rPr>
          <w:rFonts w:eastAsia="Times New Roman" w:cs="Times New Roman"/>
          <w:szCs w:val="24"/>
          <w:bdr w:val="none" w:sz="0" w:space="0" w:color="auto" w:frame="1"/>
          <w:lang w:val="it-IT" w:eastAsia="it-IT"/>
        </w:rPr>
        <w:t>La legittimazione democratica del Commissario e degli organi politici della Commissione deve tradursi in una guida autorevole e autonoma delle scelte strategiche, affinché esse riflettano realmente gli interessi, le esigenze e le diversità dei popoli europei.</w:t>
      </w:r>
    </w:p>
    <w:p w:rsidR="00831A54" w:rsidRDefault="00831A54" w:rsidP="00223E48">
      <w:pPr>
        <w:spacing w:after="0" w:line="240" w:lineRule="auto"/>
        <w:textAlignment w:val="baseline"/>
        <w:rPr>
          <w:rFonts w:eastAsia="Times New Roman" w:cs="Times New Roman"/>
          <w:szCs w:val="24"/>
          <w:bdr w:val="none" w:sz="0" w:space="0" w:color="auto" w:frame="1"/>
          <w:lang w:val="it-IT" w:eastAsia="it-IT"/>
        </w:rPr>
      </w:pPr>
    </w:p>
    <w:p w:rsidR="00831A54" w:rsidRPr="007C2ECC" w:rsidRDefault="00831A54" w:rsidP="00831A54">
      <w:pPr>
        <w:spacing w:before="100" w:beforeAutospacing="1" w:after="100" w:afterAutospacing="1" w:line="240" w:lineRule="auto"/>
        <w:outlineLvl w:val="3"/>
        <w:rPr>
          <w:rFonts w:eastAsia="Times New Roman" w:cs="Times New Roman"/>
          <w:b/>
          <w:bCs/>
          <w:szCs w:val="24"/>
          <w:lang w:val="it-IT" w:eastAsia="it-IT"/>
        </w:rPr>
      </w:pPr>
      <w:r>
        <w:rPr>
          <w:rFonts w:eastAsia="Times New Roman" w:cs="Times New Roman"/>
          <w:b/>
          <w:bCs/>
          <w:szCs w:val="24"/>
          <w:lang w:val="it-IT" w:eastAsia="it-IT"/>
        </w:rPr>
        <w:lastRenderedPageBreak/>
        <w:t>8</w:t>
      </w:r>
      <w:r w:rsidRPr="007C2ECC">
        <w:rPr>
          <w:rFonts w:eastAsia="Times New Roman" w:cs="Times New Roman"/>
          <w:b/>
          <w:bCs/>
          <w:szCs w:val="24"/>
          <w:lang w:val="it-IT" w:eastAsia="it-IT"/>
        </w:rPr>
        <w:t>. Un rischio per l’intero bacino mediterraneo</w:t>
      </w:r>
    </w:p>
    <w:p w:rsidR="00831A54" w:rsidRPr="007C2ECC" w:rsidRDefault="00831A54" w:rsidP="00831A54">
      <w:pPr>
        <w:spacing w:beforeAutospacing="1" w:after="100" w:afterAutospacing="1" w:line="240" w:lineRule="auto"/>
        <w:rPr>
          <w:rFonts w:eastAsia="Times New Roman" w:cs="Times New Roman"/>
          <w:szCs w:val="24"/>
          <w:lang w:val="it-IT" w:eastAsia="it-IT"/>
        </w:rPr>
      </w:pPr>
      <w:r w:rsidRPr="007C2ECC">
        <w:rPr>
          <w:rFonts w:eastAsia="Times New Roman" w:cs="Times New Roman"/>
          <w:szCs w:val="24"/>
          <w:lang w:val="it-IT" w:eastAsia="it-IT"/>
        </w:rPr>
        <w:t xml:space="preserve">Non si tratta esclusivamente di una questione nazionale italiana. Le decisioni che la Commissione Europea assumerà in merito alla disciplina delle concessioni demaniali marittime incideranno in modo diretto anche sugli altri Stati membri affacciati sul Mediterraneo, come </w:t>
      </w:r>
      <w:r w:rsidRPr="007C2ECC">
        <w:rPr>
          <w:rFonts w:eastAsia="Times New Roman" w:cs="Times New Roman"/>
          <w:b/>
          <w:bCs/>
          <w:szCs w:val="24"/>
          <w:lang w:val="it-IT" w:eastAsia="it-IT"/>
        </w:rPr>
        <w:t>Spagna,</w:t>
      </w:r>
      <w:r>
        <w:rPr>
          <w:rFonts w:eastAsia="Times New Roman" w:cs="Times New Roman"/>
          <w:b/>
          <w:bCs/>
          <w:szCs w:val="24"/>
          <w:lang w:val="it-IT" w:eastAsia="it-IT"/>
        </w:rPr>
        <w:t xml:space="preserve"> Portogallo,</w:t>
      </w:r>
      <w:r w:rsidRPr="007C2ECC">
        <w:rPr>
          <w:rFonts w:eastAsia="Times New Roman" w:cs="Times New Roman"/>
          <w:b/>
          <w:bCs/>
          <w:szCs w:val="24"/>
          <w:lang w:val="it-IT" w:eastAsia="it-IT"/>
        </w:rPr>
        <w:t xml:space="preserve"> Grecia, Francia, Croazia e Cipro</w:t>
      </w:r>
      <w:r w:rsidRPr="007C2ECC">
        <w:rPr>
          <w:rFonts w:eastAsia="Times New Roman" w:cs="Times New Roman"/>
          <w:szCs w:val="24"/>
          <w:lang w:val="it-IT" w:eastAsia="it-IT"/>
        </w:rPr>
        <w:t>.</w:t>
      </w:r>
    </w:p>
    <w:p w:rsidR="00831A54" w:rsidRPr="007C2ECC" w:rsidRDefault="00831A54" w:rsidP="00831A54">
      <w:pPr>
        <w:spacing w:before="100" w:beforeAutospacing="1" w:after="100" w:afterAutospacing="1" w:line="240" w:lineRule="auto"/>
        <w:rPr>
          <w:rFonts w:eastAsia="Times New Roman" w:cs="Times New Roman"/>
          <w:szCs w:val="24"/>
          <w:lang w:val="it-IT" w:eastAsia="it-IT"/>
        </w:rPr>
      </w:pPr>
      <w:r w:rsidRPr="007C2ECC">
        <w:rPr>
          <w:rFonts w:eastAsia="Times New Roman" w:cs="Times New Roman"/>
          <w:szCs w:val="24"/>
          <w:lang w:val="it-IT" w:eastAsia="it-IT"/>
        </w:rPr>
        <w:t xml:space="preserve">Un’applicazione rigida e non contestualizzata della Direttiva 2006/123/CE rischia di compromettere modelli economici costieri consolidati, basati sulla presenza capillare di </w:t>
      </w:r>
      <w:r w:rsidRPr="007C2ECC">
        <w:rPr>
          <w:rFonts w:eastAsia="Times New Roman" w:cs="Times New Roman"/>
          <w:b/>
          <w:bCs/>
          <w:szCs w:val="24"/>
          <w:lang w:val="it-IT" w:eastAsia="it-IT"/>
        </w:rPr>
        <w:t>piccole e medie imprese a conduzione familiare</w:t>
      </w:r>
      <w:r w:rsidRPr="007C2ECC">
        <w:rPr>
          <w:rFonts w:eastAsia="Times New Roman" w:cs="Times New Roman"/>
          <w:szCs w:val="24"/>
          <w:lang w:val="it-IT" w:eastAsia="it-IT"/>
        </w:rPr>
        <w:t xml:space="preserve">. Queste realtà hanno storicamente </w:t>
      </w:r>
      <w:r w:rsidRPr="007C2ECC">
        <w:rPr>
          <w:rFonts w:eastAsia="Times New Roman" w:cs="Times New Roman"/>
          <w:b/>
          <w:bCs/>
          <w:szCs w:val="24"/>
          <w:lang w:val="it-IT" w:eastAsia="it-IT"/>
        </w:rPr>
        <w:t>valorizzato e custodito il territorio</w:t>
      </w:r>
      <w:r w:rsidRPr="007C2ECC">
        <w:rPr>
          <w:rFonts w:eastAsia="Times New Roman" w:cs="Times New Roman"/>
          <w:szCs w:val="24"/>
          <w:lang w:val="it-IT" w:eastAsia="it-IT"/>
        </w:rPr>
        <w:t>, garantendo servizi di qualità, occupazione locale e presidio sociale.</w:t>
      </w:r>
    </w:p>
    <w:p w:rsidR="00831A54" w:rsidRPr="007C2ECC" w:rsidRDefault="00831A54" w:rsidP="00831A54">
      <w:pPr>
        <w:spacing w:before="100" w:beforeAutospacing="1" w:after="100" w:afterAutospacing="1" w:line="240" w:lineRule="auto"/>
        <w:rPr>
          <w:rFonts w:eastAsia="Times New Roman" w:cs="Times New Roman"/>
          <w:szCs w:val="24"/>
          <w:lang w:val="it-IT" w:eastAsia="it-IT"/>
        </w:rPr>
      </w:pPr>
      <w:r w:rsidRPr="007C2ECC">
        <w:rPr>
          <w:rFonts w:eastAsia="Times New Roman" w:cs="Times New Roman"/>
          <w:szCs w:val="24"/>
          <w:lang w:val="it-IT" w:eastAsia="it-IT"/>
        </w:rPr>
        <w:t xml:space="preserve">Una liberalizzazione non selettiva darebbe invece spazio all’ingresso di </w:t>
      </w:r>
      <w:r w:rsidRPr="007C2ECC">
        <w:rPr>
          <w:rFonts w:eastAsia="Times New Roman" w:cs="Times New Roman"/>
          <w:b/>
          <w:bCs/>
          <w:szCs w:val="24"/>
          <w:lang w:val="it-IT" w:eastAsia="it-IT"/>
        </w:rPr>
        <w:t>grandi gruppi economici e finanziari</w:t>
      </w:r>
      <w:r w:rsidRPr="007C2ECC">
        <w:rPr>
          <w:rFonts w:eastAsia="Times New Roman" w:cs="Times New Roman"/>
          <w:szCs w:val="24"/>
          <w:lang w:val="it-IT" w:eastAsia="it-IT"/>
        </w:rPr>
        <w:t>, che potrebbero rapidamente acquisire il controllo dei tratti costieri più pregiati, snaturando il tessuto economico locale e alterando gli equilibri turistici e ambientali di numerose economie nazionali.</w:t>
      </w:r>
    </w:p>
    <w:p w:rsidR="00831A54" w:rsidRDefault="00831A54" w:rsidP="00831A54">
      <w:pPr>
        <w:spacing w:before="100" w:beforeAutospacing="1" w:after="100" w:afterAutospacing="1" w:line="240" w:lineRule="auto"/>
        <w:rPr>
          <w:b/>
        </w:rPr>
      </w:pPr>
      <w:r w:rsidRPr="007C2ECC">
        <w:rPr>
          <w:rFonts w:eastAsia="Times New Roman" w:cs="Times New Roman"/>
          <w:szCs w:val="24"/>
          <w:lang w:val="it-IT" w:eastAsia="it-IT"/>
        </w:rPr>
        <w:t xml:space="preserve">È quindi essenziale che la Commissione operi con una </w:t>
      </w:r>
      <w:r w:rsidRPr="007C2ECC">
        <w:rPr>
          <w:rFonts w:eastAsia="Times New Roman" w:cs="Times New Roman"/>
          <w:b/>
          <w:bCs/>
          <w:szCs w:val="24"/>
          <w:lang w:val="it-IT" w:eastAsia="it-IT"/>
        </w:rPr>
        <w:t>visione ampia e lungimirante</w:t>
      </w:r>
      <w:r w:rsidRPr="007C2ECC">
        <w:rPr>
          <w:rFonts w:eastAsia="Times New Roman" w:cs="Times New Roman"/>
          <w:szCs w:val="24"/>
          <w:lang w:val="it-IT" w:eastAsia="it-IT"/>
        </w:rPr>
        <w:t>, considerando l’</w:t>
      </w:r>
      <w:r w:rsidRPr="007C2ECC">
        <w:rPr>
          <w:rFonts w:eastAsia="Times New Roman" w:cs="Times New Roman"/>
          <w:b/>
          <w:bCs/>
          <w:szCs w:val="24"/>
          <w:lang w:val="it-IT" w:eastAsia="it-IT"/>
        </w:rPr>
        <w:t>impatto sistemico e transnazionale</w:t>
      </w:r>
      <w:r w:rsidRPr="007C2ECC">
        <w:rPr>
          <w:rFonts w:eastAsia="Times New Roman" w:cs="Times New Roman"/>
          <w:szCs w:val="24"/>
          <w:lang w:val="it-IT" w:eastAsia="it-IT"/>
        </w:rPr>
        <w:t xml:space="preserve"> delle proprie decisioni.</w:t>
      </w:r>
      <w:r>
        <w:rPr>
          <w:b/>
        </w:rPr>
        <w:t xml:space="preserve">      </w:t>
      </w:r>
    </w:p>
    <w:p w:rsidR="00223E48" w:rsidRPr="00223E48" w:rsidRDefault="00223E48" w:rsidP="00223E48">
      <w:pPr>
        <w:spacing w:after="0" w:line="240" w:lineRule="auto"/>
        <w:textAlignment w:val="baseline"/>
        <w:rPr>
          <w:rFonts w:eastAsia="Times New Roman" w:cs="Times New Roman"/>
          <w:szCs w:val="24"/>
          <w:lang w:val="it-IT" w:eastAsia="it-IT"/>
        </w:rPr>
      </w:pPr>
      <w:r w:rsidRPr="00223E48">
        <w:rPr>
          <w:rFonts w:eastAsia="Times New Roman" w:cs="Times New Roman"/>
          <w:szCs w:val="24"/>
          <w:lang w:val="it-IT" w:eastAsia="it-IT"/>
        </w:rPr>
        <w:br/>
      </w:r>
      <w:r w:rsidRPr="00223E48">
        <w:rPr>
          <w:rFonts w:eastAsia="Times New Roman" w:cs="Times New Roman"/>
          <w:szCs w:val="24"/>
          <w:lang w:val="it-IT" w:eastAsia="it-IT"/>
        </w:rPr>
        <w:br/>
      </w:r>
      <w:r w:rsidR="00831A54" w:rsidRPr="00831A54">
        <w:rPr>
          <w:rFonts w:eastAsia="Times New Roman" w:cs="Times New Roman"/>
          <w:b/>
          <w:szCs w:val="24"/>
          <w:bdr w:val="none" w:sz="0" w:space="0" w:color="auto" w:frame="1"/>
          <w:lang w:val="it-IT" w:eastAsia="it-IT"/>
        </w:rPr>
        <w:t>9</w:t>
      </w:r>
      <w:r w:rsidRPr="00223E48">
        <w:rPr>
          <w:rFonts w:eastAsia="Times New Roman" w:cs="Times New Roman"/>
          <w:b/>
          <w:szCs w:val="24"/>
          <w:bdr w:val="none" w:sz="0" w:space="0" w:color="auto" w:frame="1"/>
          <w:lang w:val="it-IT" w:eastAsia="it-IT"/>
        </w:rPr>
        <w:t>. Conclusioni</w:t>
      </w: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 xml:space="preserve">La Direttiva </w:t>
      </w:r>
      <w:proofErr w:type="spellStart"/>
      <w:r w:rsidRPr="00223E48">
        <w:rPr>
          <w:rFonts w:eastAsia="Times New Roman" w:cs="Times New Roman"/>
          <w:szCs w:val="24"/>
          <w:bdr w:val="none" w:sz="0" w:space="0" w:color="auto" w:frame="1"/>
          <w:lang w:val="it-IT" w:eastAsia="it-IT"/>
        </w:rPr>
        <w:t>Bolkestein</w:t>
      </w:r>
      <w:proofErr w:type="spellEnd"/>
      <w:r w:rsidRPr="00223E48">
        <w:rPr>
          <w:rFonts w:eastAsia="Times New Roman" w:cs="Times New Roman"/>
          <w:szCs w:val="24"/>
          <w:bdr w:val="none" w:sz="0" w:space="0" w:color="auto" w:frame="1"/>
          <w:lang w:val="it-IT" w:eastAsia="it-IT"/>
        </w:rPr>
        <w:t xml:space="preserve"> va applicata in modo realistico e sostenibile. Il modello balneare italiano - e degli tri Paesi accomandita dalla stessa esperienza-  rappresenta una risorsa europea da tutelare per identità, occupazione e coesione territoriale.</w:t>
      </w:r>
    </w:p>
    <w:p w:rsidR="00831A54" w:rsidRDefault="00223E48" w:rsidP="00223E48">
      <w:pPr>
        <w:spacing w:after="0" w:line="240" w:lineRule="auto"/>
        <w:textAlignment w:val="baseline"/>
        <w:rPr>
          <w:rFonts w:eastAsia="Times New Roman" w:cs="Times New Roman"/>
          <w:szCs w:val="24"/>
          <w:bdr w:val="none" w:sz="0" w:space="0" w:color="auto" w:frame="1"/>
          <w:lang w:val="it-IT" w:eastAsia="it-IT"/>
        </w:rPr>
      </w:pPr>
      <w:r w:rsidRPr="00223E48">
        <w:rPr>
          <w:rFonts w:eastAsia="Times New Roman" w:cs="Times New Roman"/>
          <w:szCs w:val="24"/>
          <w:lang w:val="it-IT" w:eastAsia="it-IT"/>
        </w:rPr>
        <w:br/>
      </w:r>
      <w:r w:rsidRPr="00223E48">
        <w:rPr>
          <w:rFonts w:eastAsia="Times New Roman" w:cs="Times New Roman"/>
          <w:szCs w:val="24"/>
          <w:bdr w:val="none" w:sz="0" w:space="0" w:color="auto" w:frame="1"/>
          <w:lang w:val="it-IT" w:eastAsia="it-IT"/>
        </w:rPr>
        <w:t>In attesa di un confronto costruttivo con le istituzioni europee, che con la presente espressamente si richiede, si porgono distinti saluti.</w:t>
      </w:r>
      <w:r w:rsidRPr="00223E48">
        <w:rPr>
          <w:rFonts w:eastAsia="Times New Roman" w:cs="Times New Roman"/>
          <w:szCs w:val="24"/>
          <w:lang w:val="it-IT" w:eastAsia="it-IT"/>
        </w:rPr>
        <w:br/>
      </w:r>
      <w:r w:rsidRPr="00223E48">
        <w:rPr>
          <w:rFonts w:eastAsia="Times New Roman" w:cs="Times New Roman"/>
          <w:szCs w:val="24"/>
          <w:lang w:val="it-IT" w:eastAsia="it-IT"/>
        </w:rPr>
        <w:br/>
      </w:r>
    </w:p>
    <w:p w:rsidR="00223E48" w:rsidRDefault="00831A54" w:rsidP="00223E48">
      <w:pPr>
        <w:spacing w:after="0" w:line="240" w:lineRule="auto"/>
        <w:textAlignment w:val="baseline"/>
        <w:rPr>
          <w:rFonts w:eastAsia="Times New Roman" w:cs="Times New Roman"/>
          <w:szCs w:val="24"/>
          <w:bdr w:val="none" w:sz="0" w:space="0" w:color="auto" w:frame="1"/>
          <w:lang w:val="it-IT" w:eastAsia="it-IT"/>
        </w:rPr>
      </w:pPr>
      <w:r>
        <w:rPr>
          <w:rFonts w:eastAsia="Times New Roman" w:cs="Times New Roman"/>
          <w:szCs w:val="24"/>
          <w:bdr w:val="none" w:sz="0" w:space="0" w:color="auto" w:frame="1"/>
          <w:lang w:val="it-IT" w:eastAsia="it-IT"/>
        </w:rPr>
        <w:t>Roma, 30</w:t>
      </w:r>
      <w:r w:rsidR="00223E48" w:rsidRPr="00223E48">
        <w:rPr>
          <w:rFonts w:eastAsia="Times New Roman" w:cs="Times New Roman"/>
          <w:szCs w:val="24"/>
          <w:bdr w:val="none" w:sz="0" w:space="0" w:color="auto" w:frame="1"/>
          <w:lang w:val="it-IT" w:eastAsia="it-IT"/>
        </w:rPr>
        <w:t xml:space="preserve"> giugno 2025</w:t>
      </w:r>
      <w:r w:rsidR="00223E48" w:rsidRPr="00223E48">
        <w:rPr>
          <w:rFonts w:eastAsia="Times New Roman" w:cs="Times New Roman"/>
          <w:szCs w:val="24"/>
          <w:lang w:val="it-IT" w:eastAsia="it-IT"/>
        </w:rPr>
        <w:br/>
      </w:r>
      <w:r w:rsidR="00223E48" w:rsidRPr="00223E48">
        <w:rPr>
          <w:rFonts w:eastAsia="Times New Roman" w:cs="Times New Roman"/>
          <w:szCs w:val="24"/>
          <w:lang w:val="it-IT" w:eastAsia="it-IT"/>
        </w:rPr>
        <w:br/>
      </w:r>
      <w:r>
        <w:rPr>
          <w:rFonts w:eastAsia="Times New Roman" w:cs="Times New Roman"/>
          <w:szCs w:val="24"/>
          <w:bdr w:val="none" w:sz="0" w:space="0" w:color="auto" w:frame="1"/>
          <w:lang w:val="it-IT" w:eastAsia="it-IT"/>
        </w:rPr>
        <w:t xml:space="preserve">                                                                                           </w:t>
      </w:r>
      <w:r w:rsidR="00223E48" w:rsidRPr="00223E48">
        <w:rPr>
          <w:rFonts w:eastAsia="Times New Roman" w:cs="Times New Roman"/>
          <w:szCs w:val="24"/>
          <w:bdr w:val="none" w:sz="0" w:space="0" w:color="auto" w:frame="1"/>
          <w:lang w:val="it-IT" w:eastAsia="it-IT"/>
        </w:rPr>
        <w:t>Il Presidente Nazionale</w:t>
      </w:r>
    </w:p>
    <w:p w:rsidR="00831A54" w:rsidRDefault="00831A54" w:rsidP="00223E48">
      <w:pPr>
        <w:spacing w:after="0" w:line="240" w:lineRule="auto"/>
        <w:textAlignment w:val="baseline"/>
        <w:rPr>
          <w:rFonts w:eastAsia="Times New Roman" w:cs="Times New Roman"/>
          <w:szCs w:val="24"/>
          <w:bdr w:val="none" w:sz="0" w:space="0" w:color="auto" w:frame="1"/>
          <w:lang w:val="it-IT" w:eastAsia="it-IT"/>
        </w:rPr>
      </w:pPr>
    </w:p>
    <w:p w:rsidR="00831A54" w:rsidRPr="00223E48" w:rsidRDefault="00831A54" w:rsidP="00223E48">
      <w:pPr>
        <w:spacing w:after="0" w:line="240" w:lineRule="auto"/>
        <w:textAlignment w:val="baseline"/>
        <w:rPr>
          <w:rFonts w:eastAsia="Times New Roman" w:cs="Times New Roman"/>
          <w:szCs w:val="24"/>
          <w:lang w:val="it-IT" w:eastAsia="it-IT"/>
        </w:rPr>
      </w:pPr>
      <w:r>
        <w:rPr>
          <w:rFonts w:eastAsia="Times New Roman" w:cs="Times New Roman"/>
          <w:szCs w:val="24"/>
          <w:bdr w:val="none" w:sz="0" w:space="0" w:color="auto" w:frame="1"/>
          <w:lang w:val="it-IT" w:eastAsia="it-IT"/>
        </w:rPr>
        <w:t xml:space="preserve">                                                                                                </w:t>
      </w:r>
      <w:bookmarkStart w:id="0" w:name="_GoBack"/>
      <w:bookmarkEnd w:id="0"/>
      <w:r>
        <w:rPr>
          <w:rFonts w:eastAsia="Times New Roman" w:cs="Times New Roman"/>
          <w:szCs w:val="24"/>
          <w:bdr w:val="none" w:sz="0" w:space="0" w:color="auto" w:frame="1"/>
          <w:lang w:val="it-IT" w:eastAsia="it-IT"/>
        </w:rPr>
        <w:t xml:space="preserve">Fabrizio </w:t>
      </w:r>
      <w:proofErr w:type="spellStart"/>
      <w:r>
        <w:rPr>
          <w:rFonts w:eastAsia="Times New Roman" w:cs="Times New Roman"/>
          <w:szCs w:val="24"/>
          <w:bdr w:val="none" w:sz="0" w:space="0" w:color="auto" w:frame="1"/>
          <w:lang w:val="it-IT" w:eastAsia="it-IT"/>
        </w:rPr>
        <w:t>Licordari</w:t>
      </w:r>
      <w:proofErr w:type="spellEnd"/>
    </w:p>
    <w:p w:rsidR="00223E48" w:rsidRPr="00223E48" w:rsidRDefault="00223E48">
      <w:pPr>
        <w:rPr>
          <w:rFonts w:cs="Times New Roman"/>
          <w:szCs w:val="24"/>
        </w:rPr>
      </w:pPr>
    </w:p>
    <w:sectPr w:rsidR="00223E48" w:rsidRPr="00223E4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2F81FF5"/>
    <w:multiLevelType w:val="hybridMultilevel"/>
    <w:tmpl w:val="0A3047BC"/>
    <w:lvl w:ilvl="0" w:tplc="FCC0EF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8C93942"/>
    <w:multiLevelType w:val="hybridMultilevel"/>
    <w:tmpl w:val="8864C6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D2E4DED"/>
    <w:multiLevelType w:val="hybridMultilevel"/>
    <w:tmpl w:val="4FF6261E"/>
    <w:lvl w:ilvl="0" w:tplc="EC18D3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B4315B"/>
    <w:multiLevelType w:val="hybridMultilevel"/>
    <w:tmpl w:val="BA96B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A947D39"/>
    <w:multiLevelType w:val="hybridMultilevel"/>
    <w:tmpl w:val="50B24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D41E0"/>
    <w:rsid w:val="00223E48"/>
    <w:rsid w:val="002756FB"/>
    <w:rsid w:val="0029639D"/>
    <w:rsid w:val="00302D74"/>
    <w:rsid w:val="00326F90"/>
    <w:rsid w:val="006111DA"/>
    <w:rsid w:val="007C2ECC"/>
    <w:rsid w:val="00831A54"/>
    <w:rsid w:val="008E6B45"/>
    <w:rsid w:val="00AA1D8D"/>
    <w:rsid w:val="00B47730"/>
    <w:rsid w:val="00CB0664"/>
    <w:rsid w:val="00F13398"/>
    <w:rsid w:val="00F8747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27846"/>
  <w14:defaultImageDpi w14:val="300"/>
  <w15:docId w15:val="{87A8FBD6-6A59-4F56-B48C-E23ED2C7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9119">
      <w:bodyDiv w:val="1"/>
      <w:marLeft w:val="0"/>
      <w:marRight w:val="0"/>
      <w:marTop w:val="0"/>
      <w:marBottom w:val="0"/>
      <w:divBdr>
        <w:top w:val="none" w:sz="0" w:space="0" w:color="auto"/>
        <w:left w:val="none" w:sz="0" w:space="0" w:color="auto"/>
        <w:bottom w:val="none" w:sz="0" w:space="0" w:color="auto"/>
        <w:right w:val="none" w:sz="0" w:space="0" w:color="auto"/>
      </w:divBdr>
      <w:divsChild>
        <w:div w:id="742684201">
          <w:marLeft w:val="0"/>
          <w:marRight w:val="0"/>
          <w:marTop w:val="0"/>
          <w:marBottom w:val="0"/>
          <w:divBdr>
            <w:top w:val="none" w:sz="0" w:space="0" w:color="auto"/>
            <w:left w:val="none" w:sz="0" w:space="0" w:color="auto"/>
            <w:bottom w:val="none" w:sz="0" w:space="0" w:color="auto"/>
            <w:right w:val="none" w:sz="0" w:space="0" w:color="auto"/>
          </w:divBdr>
        </w:div>
        <w:div w:id="475339615">
          <w:marLeft w:val="0"/>
          <w:marRight w:val="0"/>
          <w:marTop w:val="0"/>
          <w:marBottom w:val="0"/>
          <w:divBdr>
            <w:top w:val="none" w:sz="0" w:space="0" w:color="auto"/>
            <w:left w:val="none" w:sz="0" w:space="0" w:color="auto"/>
            <w:bottom w:val="none" w:sz="0" w:space="0" w:color="auto"/>
            <w:right w:val="none" w:sz="0" w:space="0" w:color="auto"/>
          </w:divBdr>
        </w:div>
        <w:div w:id="498469213">
          <w:marLeft w:val="0"/>
          <w:marRight w:val="0"/>
          <w:marTop w:val="0"/>
          <w:marBottom w:val="0"/>
          <w:divBdr>
            <w:top w:val="none" w:sz="0" w:space="0" w:color="auto"/>
            <w:left w:val="none" w:sz="0" w:space="0" w:color="auto"/>
            <w:bottom w:val="none" w:sz="0" w:space="0" w:color="auto"/>
            <w:right w:val="none" w:sz="0" w:space="0" w:color="auto"/>
          </w:divBdr>
        </w:div>
        <w:div w:id="978846868">
          <w:marLeft w:val="0"/>
          <w:marRight w:val="0"/>
          <w:marTop w:val="0"/>
          <w:marBottom w:val="0"/>
          <w:divBdr>
            <w:top w:val="none" w:sz="0" w:space="0" w:color="auto"/>
            <w:left w:val="none" w:sz="0" w:space="0" w:color="auto"/>
            <w:bottom w:val="none" w:sz="0" w:space="0" w:color="auto"/>
            <w:right w:val="none" w:sz="0" w:space="0" w:color="auto"/>
          </w:divBdr>
        </w:div>
        <w:div w:id="463236928">
          <w:marLeft w:val="0"/>
          <w:marRight w:val="0"/>
          <w:marTop w:val="0"/>
          <w:marBottom w:val="0"/>
          <w:divBdr>
            <w:top w:val="none" w:sz="0" w:space="0" w:color="auto"/>
            <w:left w:val="none" w:sz="0" w:space="0" w:color="auto"/>
            <w:bottom w:val="none" w:sz="0" w:space="0" w:color="auto"/>
            <w:right w:val="none" w:sz="0" w:space="0" w:color="auto"/>
          </w:divBdr>
        </w:div>
        <w:div w:id="269515500">
          <w:marLeft w:val="0"/>
          <w:marRight w:val="0"/>
          <w:marTop w:val="0"/>
          <w:marBottom w:val="0"/>
          <w:divBdr>
            <w:top w:val="none" w:sz="0" w:space="0" w:color="auto"/>
            <w:left w:val="none" w:sz="0" w:space="0" w:color="auto"/>
            <w:bottom w:val="none" w:sz="0" w:space="0" w:color="auto"/>
            <w:right w:val="none" w:sz="0" w:space="0" w:color="auto"/>
          </w:divBdr>
        </w:div>
        <w:div w:id="1240795947">
          <w:marLeft w:val="0"/>
          <w:marRight w:val="0"/>
          <w:marTop w:val="0"/>
          <w:marBottom w:val="0"/>
          <w:divBdr>
            <w:top w:val="none" w:sz="0" w:space="0" w:color="auto"/>
            <w:left w:val="none" w:sz="0" w:space="0" w:color="auto"/>
            <w:bottom w:val="none" w:sz="0" w:space="0" w:color="auto"/>
            <w:right w:val="none" w:sz="0" w:space="0" w:color="auto"/>
          </w:divBdr>
        </w:div>
        <w:div w:id="1895891106">
          <w:marLeft w:val="0"/>
          <w:marRight w:val="0"/>
          <w:marTop w:val="0"/>
          <w:marBottom w:val="0"/>
          <w:divBdr>
            <w:top w:val="none" w:sz="0" w:space="0" w:color="auto"/>
            <w:left w:val="none" w:sz="0" w:space="0" w:color="auto"/>
            <w:bottom w:val="none" w:sz="0" w:space="0" w:color="auto"/>
            <w:right w:val="none" w:sz="0" w:space="0" w:color="auto"/>
          </w:divBdr>
        </w:div>
        <w:div w:id="1223251859">
          <w:marLeft w:val="0"/>
          <w:marRight w:val="0"/>
          <w:marTop w:val="0"/>
          <w:marBottom w:val="0"/>
          <w:divBdr>
            <w:top w:val="none" w:sz="0" w:space="0" w:color="auto"/>
            <w:left w:val="none" w:sz="0" w:space="0" w:color="auto"/>
            <w:bottom w:val="none" w:sz="0" w:space="0" w:color="auto"/>
            <w:right w:val="none" w:sz="0" w:space="0" w:color="auto"/>
          </w:divBdr>
        </w:div>
      </w:divsChild>
    </w:div>
    <w:div w:id="1313212805">
      <w:bodyDiv w:val="1"/>
      <w:marLeft w:val="0"/>
      <w:marRight w:val="0"/>
      <w:marTop w:val="0"/>
      <w:marBottom w:val="0"/>
      <w:divBdr>
        <w:top w:val="none" w:sz="0" w:space="0" w:color="auto"/>
        <w:left w:val="none" w:sz="0" w:space="0" w:color="auto"/>
        <w:bottom w:val="none" w:sz="0" w:space="0" w:color="auto"/>
        <w:right w:val="none" w:sz="0" w:space="0" w:color="auto"/>
      </w:divBdr>
      <w:divsChild>
        <w:div w:id="84636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google.com%2Fmaps%2Fsearch%2FRue%2Bde%2Bla%2BLoi%252FWetstraat%2B200%3Fentry%3Dgmail%26source%3Dg&amp;data=05%7C02%7C%7C55c56b4257044f37d28108ddb7677bd3%7C84df9e7fe9f640afb435aaaaaaaaaaaa%7C1%7C0%7C638868377261463204%7CUnknown%7CTWFpbGZsb3d8eyJFbXB0eU1hcGkiOnRydWUsIlYiOiIwLjAuMDAwMCIsIlAiOiJXaW4zMiIsIkFOIjoiTWFpbCIsIldUIjoyfQ%3D%3D%7C0%7C%7C%7C&amp;sdata=JClIrncVVesIw9VE8hVvSg%2FgxmkMItLzlEIbfH7rkuo%3D&amp;reserved=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7975-3321-4E21-A2C9-C2AEACB6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8534</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Fabrizio</cp:lastModifiedBy>
  <cp:revision>2</cp:revision>
  <dcterms:created xsi:type="dcterms:W3CDTF">2025-06-30T05:48:00Z</dcterms:created>
  <dcterms:modified xsi:type="dcterms:W3CDTF">2025-06-30T05:48:00Z</dcterms:modified>
  <cp:category/>
</cp:coreProperties>
</file>