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D830A" w14:textId="77777777" w:rsidR="00657E4D" w:rsidRDefault="00657E4D" w:rsidP="00657E4D">
      <w:pPr>
        <w:spacing w:before="120"/>
        <w:jc w:val="both"/>
        <w:rPr>
          <w:sz w:val="24"/>
          <w:szCs w:val="24"/>
        </w:rPr>
      </w:pPr>
      <w:r>
        <w:rPr>
          <w:sz w:val="24"/>
          <w:szCs w:val="24"/>
        </w:rPr>
        <w:t xml:space="preserve">Visto il decreto-legge </w:t>
      </w:r>
      <w:r w:rsidRPr="00DC1B36">
        <w:rPr>
          <w:sz w:val="24"/>
          <w:szCs w:val="24"/>
        </w:rPr>
        <w:t>5 ottobre 1993, n. 400</w:t>
      </w:r>
      <w:r>
        <w:rPr>
          <w:sz w:val="24"/>
          <w:szCs w:val="24"/>
        </w:rPr>
        <w:t>, recante “</w:t>
      </w:r>
      <w:r w:rsidRPr="002A7173">
        <w:rPr>
          <w:i/>
          <w:iCs/>
          <w:sz w:val="24"/>
          <w:szCs w:val="24"/>
        </w:rPr>
        <w:t>Disposizioni per la determinazione dei canoni relativi a concessioni demaniali marittime</w:t>
      </w:r>
      <w:r>
        <w:rPr>
          <w:sz w:val="24"/>
          <w:szCs w:val="24"/>
        </w:rPr>
        <w:t xml:space="preserve">”, convertito, con modificazioni, dalla legge </w:t>
      </w:r>
      <w:r w:rsidRPr="00DC1B36">
        <w:rPr>
          <w:sz w:val="24"/>
          <w:szCs w:val="24"/>
        </w:rPr>
        <w:t>4 dicembre 1993, n. 494</w:t>
      </w:r>
      <w:r>
        <w:rPr>
          <w:sz w:val="24"/>
          <w:szCs w:val="24"/>
        </w:rPr>
        <w:t>;</w:t>
      </w:r>
    </w:p>
    <w:p w14:paraId="40079E81" w14:textId="77777777" w:rsidR="00657E4D" w:rsidRDefault="00657E4D" w:rsidP="00657E4D">
      <w:pPr>
        <w:spacing w:before="120"/>
        <w:jc w:val="both"/>
        <w:rPr>
          <w:sz w:val="24"/>
          <w:szCs w:val="24"/>
        </w:rPr>
      </w:pPr>
      <w:r>
        <w:rPr>
          <w:sz w:val="24"/>
          <w:szCs w:val="24"/>
        </w:rPr>
        <w:t xml:space="preserve">Visti, in particolare, i commi 1 e 2 dell’articolo 03 del decreto-legge n. 400 del 1993, concernenti le </w:t>
      </w:r>
      <w:r w:rsidRPr="00DC1B36">
        <w:rPr>
          <w:sz w:val="24"/>
          <w:szCs w:val="24"/>
        </w:rPr>
        <w:t>misur</w:t>
      </w:r>
      <w:r>
        <w:rPr>
          <w:sz w:val="24"/>
          <w:szCs w:val="24"/>
        </w:rPr>
        <w:t>e</w:t>
      </w:r>
      <w:r w:rsidRPr="00DC1B36">
        <w:rPr>
          <w:sz w:val="24"/>
          <w:szCs w:val="24"/>
        </w:rPr>
        <w:t xml:space="preserve"> de</w:t>
      </w:r>
      <w:r>
        <w:rPr>
          <w:sz w:val="24"/>
          <w:szCs w:val="24"/>
        </w:rPr>
        <w:t>i</w:t>
      </w:r>
      <w:r w:rsidRPr="00DC1B36">
        <w:rPr>
          <w:sz w:val="24"/>
          <w:szCs w:val="24"/>
        </w:rPr>
        <w:t xml:space="preserve"> canon</w:t>
      </w:r>
      <w:r>
        <w:rPr>
          <w:sz w:val="24"/>
          <w:szCs w:val="24"/>
        </w:rPr>
        <w:t>i</w:t>
      </w:r>
      <w:r w:rsidRPr="00DC1B36">
        <w:rPr>
          <w:sz w:val="24"/>
          <w:szCs w:val="24"/>
        </w:rPr>
        <w:t xml:space="preserve"> annu</w:t>
      </w:r>
      <w:r>
        <w:rPr>
          <w:sz w:val="24"/>
          <w:szCs w:val="24"/>
        </w:rPr>
        <w:t xml:space="preserve">i dovuti per le </w:t>
      </w:r>
      <w:r w:rsidRPr="00DC1B36">
        <w:rPr>
          <w:sz w:val="24"/>
          <w:szCs w:val="24"/>
        </w:rPr>
        <w:t>concessioni rilasciate o rinnovate con finalità turistico-ricreative di aree, pertinenze demaniali marittime e specchi acquei per i quali si applicano le disposizioni relative alle utilizzazioni del demanio marittimo</w:t>
      </w:r>
      <w:r>
        <w:rPr>
          <w:sz w:val="24"/>
          <w:szCs w:val="24"/>
        </w:rPr>
        <w:t>;</w:t>
      </w:r>
    </w:p>
    <w:p w14:paraId="07929541" w14:textId="77777777" w:rsidR="00657E4D" w:rsidRPr="00CE0269" w:rsidRDefault="00657E4D" w:rsidP="00657E4D">
      <w:pPr>
        <w:spacing w:before="120"/>
        <w:jc w:val="both"/>
        <w:rPr>
          <w:sz w:val="24"/>
          <w:szCs w:val="24"/>
        </w:rPr>
      </w:pPr>
      <w:r>
        <w:rPr>
          <w:sz w:val="24"/>
          <w:szCs w:val="24"/>
        </w:rPr>
        <w:t>Visto, inoltre, l’articolo 04 del decreto-legge n. 400 del 1993, che prevede che i</w:t>
      </w:r>
      <w:r w:rsidRPr="00DC1B36">
        <w:rPr>
          <w:sz w:val="24"/>
          <w:szCs w:val="24"/>
        </w:rPr>
        <w:t xml:space="preserve"> canoni annui relativi alle concessioni demaniali marittime sono aggiornati annualmente, con decreto del Ministro della </w:t>
      </w:r>
      <w:r w:rsidRPr="00CE0269">
        <w:rPr>
          <w:sz w:val="24"/>
          <w:szCs w:val="24"/>
        </w:rPr>
        <w:t>marina mercantile, sulla base della media degli indici determinati dall'ISTAT per i prezzi al consumo per le famiglie di operai ed impiegati e per i corrispondenti valori per il mercato all'ingrosso;</w:t>
      </w:r>
    </w:p>
    <w:p w14:paraId="432DF958" w14:textId="738AD836" w:rsidR="000B617F" w:rsidRPr="00CE0269" w:rsidRDefault="000B617F" w:rsidP="00C46930">
      <w:pPr>
        <w:spacing w:before="120"/>
        <w:jc w:val="both"/>
        <w:rPr>
          <w:b/>
          <w:bCs/>
          <w:sz w:val="24"/>
          <w:szCs w:val="24"/>
        </w:rPr>
      </w:pPr>
      <w:r w:rsidRPr="00CE0269">
        <w:rPr>
          <w:b/>
          <w:bCs/>
          <w:sz w:val="24"/>
          <w:szCs w:val="24"/>
        </w:rPr>
        <w:t xml:space="preserve">Visto </w:t>
      </w:r>
      <w:r w:rsidR="003A3DB1" w:rsidRPr="00CE0269">
        <w:rPr>
          <w:b/>
          <w:bCs/>
          <w:sz w:val="24"/>
          <w:szCs w:val="24"/>
        </w:rPr>
        <w:t xml:space="preserve">il decreto legislativo 31 marzo 1998, n. 112, recante </w:t>
      </w:r>
      <w:r w:rsidR="006E107D" w:rsidRPr="00CE0269">
        <w:rPr>
          <w:b/>
          <w:bCs/>
          <w:sz w:val="24"/>
          <w:szCs w:val="24"/>
        </w:rPr>
        <w:t xml:space="preserve">conferimento di funzioni e compiti amministrativi dello Stato alle regioni ed agli enti locali, e in particolare l’articolo </w:t>
      </w:r>
      <w:r w:rsidR="008777C7" w:rsidRPr="00CE0269">
        <w:rPr>
          <w:b/>
          <w:bCs/>
          <w:sz w:val="24"/>
          <w:szCs w:val="24"/>
        </w:rPr>
        <w:t>89</w:t>
      </w:r>
      <w:r w:rsidR="001E72D8" w:rsidRPr="00CE0269">
        <w:rPr>
          <w:b/>
          <w:bCs/>
          <w:sz w:val="24"/>
          <w:szCs w:val="24"/>
        </w:rPr>
        <w:t>, comma 1, che conferisce alle regioni e agli enti locali</w:t>
      </w:r>
      <w:r w:rsidR="00721D9C" w:rsidRPr="00CE0269">
        <w:rPr>
          <w:b/>
          <w:bCs/>
          <w:sz w:val="24"/>
          <w:szCs w:val="24"/>
        </w:rPr>
        <w:t xml:space="preserve"> funzioni relative </w:t>
      </w:r>
      <w:r w:rsidR="00C46930" w:rsidRPr="00CE0269">
        <w:rPr>
          <w:b/>
          <w:bCs/>
          <w:sz w:val="24"/>
          <w:szCs w:val="24"/>
        </w:rPr>
        <w:t>alle concessioni di spiagge lacuali, superfici e pertinenze dei lagh</w:t>
      </w:r>
      <w:r w:rsidR="000E49E7" w:rsidRPr="00CE0269">
        <w:rPr>
          <w:b/>
          <w:bCs/>
          <w:sz w:val="24"/>
          <w:szCs w:val="24"/>
        </w:rPr>
        <w:t xml:space="preserve">i, </w:t>
      </w:r>
      <w:r w:rsidR="00C46930" w:rsidRPr="00CE0269">
        <w:rPr>
          <w:b/>
          <w:bCs/>
          <w:sz w:val="24"/>
          <w:szCs w:val="24"/>
        </w:rPr>
        <w:t>alle concessioni di pertinenze idrauliche e di aree fluviali</w:t>
      </w:r>
      <w:r w:rsidR="000E49E7" w:rsidRPr="00CE0269">
        <w:rPr>
          <w:b/>
          <w:bCs/>
          <w:sz w:val="24"/>
          <w:szCs w:val="24"/>
        </w:rPr>
        <w:t>, nonché alla determinazione dei canoni di concessione e all'introito dei relativi proventi</w:t>
      </w:r>
      <w:r w:rsidR="008421B0" w:rsidRPr="00CE0269">
        <w:rPr>
          <w:b/>
          <w:bCs/>
          <w:sz w:val="24"/>
          <w:szCs w:val="24"/>
        </w:rPr>
        <w:t>;</w:t>
      </w:r>
    </w:p>
    <w:p w14:paraId="04B5DB7B" w14:textId="77777777" w:rsidR="00657E4D" w:rsidRDefault="00657E4D" w:rsidP="00657E4D">
      <w:pPr>
        <w:spacing w:before="120"/>
        <w:jc w:val="both"/>
        <w:rPr>
          <w:sz w:val="24"/>
          <w:szCs w:val="24"/>
        </w:rPr>
      </w:pPr>
      <w:r w:rsidRPr="00CE0269">
        <w:rPr>
          <w:sz w:val="24"/>
          <w:szCs w:val="24"/>
        </w:rPr>
        <w:t>Vista la legge 21 novembre 2000, n. 342, recate “</w:t>
      </w:r>
      <w:r w:rsidRPr="00CE0269">
        <w:rPr>
          <w:i/>
          <w:iCs/>
          <w:sz w:val="24"/>
          <w:szCs w:val="24"/>
        </w:rPr>
        <w:t>Misure in materia fiscale</w:t>
      </w:r>
      <w:r w:rsidRPr="00CE0269">
        <w:rPr>
          <w:sz w:val="24"/>
          <w:szCs w:val="24"/>
        </w:rPr>
        <w:t>”, e, in particolare</w:t>
      </w:r>
      <w:r>
        <w:rPr>
          <w:sz w:val="24"/>
          <w:szCs w:val="24"/>
        </w:rPr>
        <w:t xml:space="preserve">, la </w:t>
      </w:r>
      <w:r w:rsidRPr="00E673EA">
        <w:rPr>
          <w:sz w:val="24"/>
          <w:szCs w:val="24"/>
        </w:rPr>
        <w:t>sezione II del capo I</w:t>
      </w:r>
      <w:r>
        <w:rPr>
          <w:sz w:val="24"/>
          <w:szCs w:val="24"/>
        </w:rPr>
        <w:t>, concernente la r</w:t>
      </w:r>
      <w:r w:rsidRPr="00D51436">
        <w:rPr>
          <w:sz w:val="24"/>
          <w:szCs w:val="24"/>
        </w:rPr>
        <w:t>ivalutazione dei beni delle imprese</w:t>
      </w:r>
      <w:r>
        <w:rPr>
          <w:sz w:val="24"/>
          <w:szCs w:val="24"/>
        </w:rPr>
        <w:t>;</w:t>
      </w:r>
    </w:p>
    <w:p w14:paraId="291419CB" w14:textId="77777777" w:rsidR="00657E4D" w:rsidRDefault="00657E4D" w:rsidP="00DC1B36">
      <w:pPr>
        <w:spacing w:before="120"/>
        <w:jc w:val="both"/>
        <w:rPr>
          <w:sz w:val="24"/>
          <w:szCs w:val="24"/>
        </w:rPr>
      </w:pPr>
      <w:r w:rsidRPr="00E80D68">
        <w:rPr>
          <w:sz w:val="24"/>
          <w:szCs w:val="24"/>
        </w:rPr>
        <w:t>Visto il decreto-legge 14 agosto 2020, n. 104, recante “</w:t>
      </w:r>
      <w:r w:rsidRPr="00E80D68">
        <w:rPr>
          <w:i/>
          <w:iCs/>
          <w:sz w:val="24"/>
          <w:szCs w:val="24"/>
        </w:rPr>
        <w:t>Misure urgenti per il sostegno e il rilancio dell'economia</w:t>
      </w:r>
      <w:r w:rsidRPr="00E80D68">
        <w:rPr>
          <w:sz w:val="24"/>
          <w:szCs w:val="24"/>
        </w:rPr>
        <w:t>”, convertito, con modificazioni, dalla legge 13 ottobre 2020, n. 126, e, in particolare, l’articolo 110, concernente la rivalutazione generale dei beni d'impresa e delle partecipazioni 2020;</w:t>
      </w:r>
    </w:p>
    <w:p w14:paraId="2658C057" w14:textId="35D795CF" w:rsidR="00E01683" w:rsidRDefault="00E01683" w:rsidP="00DC1B36">
      <w:pPr>
        <w:spacing w:before="120"/>
        <w:jc w:val="both"/>
        <w:rPr>
          <w:sz w:val="24"/>
          <w:szCs w:val="24"/>
        </w:rPr>
      </w:pPr>
      <w:r w:rsidRPr="00E80D68">
        <w:rPr>
          <w:sz w:val="24"/>
          <w:szCs w:val="24"/>
        </w:rPr>
        <w:t>Vista la legge 5 agosto 2022, n. 118, recante “</w:t>
      </w:r>
      <w:r w:rsidRPr="00FE10BB">
        <w:rPr>
          <w:i/>
          <w:iCs/>
          <w:sz w:val="24"/>
          <w:szCs w:val="24"/>
        </w:rPr>
        <w:t>Legge annuale per il mercato e la concorrenza 2021</w:t>
      </w:r>
      <w:r w:rsidRPr="00E80D68">
        <w:rPr>
          <w:sz w:val="24"/>
          <w:szCs w:val="24"/>
        </w:rPr>
        <w:t>”;</w:t>
      </w:r>
    </w:p>
    <w:p w14:paraId="22AB673D" w14:textId="652A645A" w:rsidR="002A7173" w:rsidRDefault="00DC1B36" w:rsidP="00DC1B36">
      <w:pPr>
        <w:spacing w:before="120"/>
        <w:jc w:val="both"/>
        <w:rPr>
          <w:sz w:val="24"/>
          <w:szCs w:val="24"/>
        </w:rPr>
      </w:pPr>
      <w:r>
        <w:rPr>
          <w:sz w:val="24"/>
          <w:szCs w:val="24"/>
        </w:rPr>
        <w:t xml:space="preserve">Visto, in particolare, </w:t>
      </w:r>
      <w:r w:rsidR="002A7173">
        <w:rPr>
          <w:sz w:val="24"/>
          <w:szCs w:val="24"/>
        </w:rPr>
        <w:t>il comma 9 dell’articolo 4 della legge n. 118 del 2022, che prevede che i</w:t>
      </w:r>
      <w:r w:rsidR="002A7173" w:rsidRPr="002A7173">
        <w:rPr>
          <w:sz w:val="24"/>
          <w:szCs w:val="24"/>
        </w:rPr>
        <w:t>n caso di rilascio della concessione a favore di un nuovo concessionario, il concessionario uscente ha diritto al riconoscimento di un indennizzo a carico del concessionario subentrante pari al valore degli investimenti effettuati e non ancora ammortizzati al termine della concessione, ivi compresi gli investimenti effettuati in conseguenza di eventi calamitosi debitamente dichiarati dalle autorità competenti ovvero in conseguenza di sopravvenuti obblighi di legge, al netto di ogni misura di aiuto o sovvenzione pubblica eventualmente percepita e non rimborsata, nonché pari a quanto necessario per garantire al concessionario uscente un'equa remunerazione sugli investimenti effettuati negli ultimi cinque anni, stabilita sulla base di criteri previsti con decreto del Ministro delle infrastrutture e dei trasporti, di concerto con il Ministro dell'economia e delle finanze</w:t>
      </w:r>
      <w:r w:rsidR="002A7173">
        <w:rPr>
          <w:sz w:val="24"/>
          <w:szCs w:val="24"/>
        </w:rPr>
        <w:t>;</w:t>
      </w:r>
    </w:p>
    <w:p w14:paraId="31B2F4EF" w14:textId="13A13785" w:rsidR="002A7173" w:rsidRDefault="002A7173" w:rsidP="00DC1B36">
      <w:pPr>
        <w:spacing w:before="120"/>
        <w:jc w:val="both"/>
        <w:rPr>
          <w:sz w:val="24"/>
          <w:szCs w:val="24"/>
        </w:rPr>
      </w:pPr>
      <w:r>
        <w:rPr>
          <w:sz w:val="24"/>
          <w:szCs w:val="24"/>
        </w:rPr>
        <w:t>Visto, inoltre, il comma 11 dell’articolo 4 della legge n. 118 del 2022, che prevede che c</w:t>
      </w:r>
      <w:r w:rsidRPr="002A7173">
        <w:rPr>
          <w:sz w:val="24"/>
          <w:szCs w:val="24"/>
        </w:rPr>
        <w:t>on il decreto di cui al comma 9 si provvede, altresì, all'aggiornamento dell'entità degli importi unitari previsti dall'articolo 03, comma 1, lettera b)</w:t>
      </w:r>
      <w:r>
        <w:rPr>
          <w:sz w:val="24"/>
          <w:szCs w:val="24"/>
        </w:rPr>
        <w:t xml:space="preserve">, </w:t>
      </w:r>
      <w:r w:rsidRPr="002A7173">
        <w:rPr>
          <w:sz w:val="24"/>
          <w:szCs w:val="24"/>
        </w:rPr>
        <w:t>del decreto-legge 5 ottobre 1993, n. 400, convertito, con modificazioni, dalla legge 4 dicembre 1993, n. 494, nonché dei canoni per le concessioni lacuali e fluviali per finalità turistico-ricreative e sportive</w:t>
      </w:r>
      <w:r>
        <w:rPr>
          <w:sz w:val="24"/>
          <w:szCs w:val="24"/>
        </w:rPr>
        <w:t>;</w:t>
      </w:r>
    </w:p>
    <w:p w14:paraId="37A12AE2" w14:textId="77777777" w:rsidR="00657E4D" w:rsidRDefault="00657E4D" w:rsidP="00657E4D">
      <w:pPr>
        <w:spacing w:before="120"/>
        <w:jc w:val="both"/>
        <w:rPr>
          <w:sz w:val="24"/>
          <w:szCs w:val="24"/>
        </w:rPr>
      </w:pPr>
      <w:r w:rsidRPr="00E80D68">
        <w:rPr>
          <w:sz w:val="24"/>
          <w:szCs w:val="24"/>
        </w:rPr>
        <w:t>Visto il decreto-legge 16 settembre 2024, n. 131, recante “</w:t>
      </w:r>
      <w:r w:rsidRPr="00E80D68">
        <w:rPr>
          <w:i/>
          <w:iCs/>
          <w:sz w:val="24"/>
          <w:szCs w:val="24"/>
        </w:rPr>
        <w:t xml:space="preserve">Disposizioni urgenti per l'attuazione di obblighi derivanti da atti dell'Unione europea e da procedure di infrazione e pre-infrazione pendenti nei confronti </w:t>
      </w:r>
      <w:r w:rsidRPr="002A7173">
        <w:rPr>
          <w:i/>
          <w:iCs/>
          <w:sz w:val="24"/>
          <w:szCs w:val="24"/>
        </w:rPr>
        <w:t>dello Stato italiano</w:t>
      </w:r>
      <w:r>
        <w:rPr>
          <w:sz w:val="24"/>
          <w:szCs w:val="24"/>
        </w:rPr>
        <w:t xml:space="preserve">”, convertito, con modificazioni, dalla legge </w:t>
      </w:r>
      <w:r w:rsidRPr="00DC1B36">
        <w:rPr>
          <w:sz w:val="24"/>
          <w:szCs w:val="24"/>
        </w:rPr>
        <w:t>14 novembre 2024, n. 166</w:t>
      </w:r>
      <w:r>
        <w:rPr>
          <w:sz w:val="24"/>
          <w:szCs w:val="24"/>
        </w:rPr>
        <w:t>;</w:t>
      </w:r>
    </w:p>
    <w:p w14:paraId="25835185" w14:textId="5A3E1AD3" w:rsidR="00BD19B3" w:rsidRPr="00971B83" w:rsidRDefault="00BD19B3" w:rsidP="00657E4D">
      <w:pPr>
        <w:spacing w:before="120"/>
        <w:jc w:val="both"/>
        <w:rPr>
          <w:b/>
          <w:bCs/>
          <w:sz w:val="24"/>
          <w:szCs w:val="24"/>
        </w:rPr>
      </w:pPr>
      <w:r w:rsidRPr="00971B83">
        <w:rPr>
          <w:b/>
          <w:bCs/>
          <w:sz w:val="24"/>
          <w:szCs w:val="24"/>
        </w:rPr>
        <w:lastRenderedPageBreak/>
        <w:t>Visto il decreto del Ministro de</w:t>
      </w:r>
      <w:r w:rsidR="00E165B7" w:rsidRPr="00971B83">
        <w:rPr>
          <w:b/>
          <w:bCs/>
          <w:sz w:val="24"/>
          <w:szCs w:val="24"/>
        </w:rPr>
        <w:t>i trasporti e della navigazione</w:t>
      </w:r>
      <w:r w:rsidR="00137A13" w:rsidRPr="00971B83">
        <w:rPr>
          <w:b/>
          <w:bCs/>
          <w:sz w:val="24"/>
          <w:szCs w:val="24"/>
        </w:rPr>
        <w:t xml:space="preserve"> 5 agosto 1998, n. 342, </w:t>
      </w:r>
      <w:r w:rsidR="00335E5A" w:rsidRPr="00971B83">
        <w:rPr>
          <w:b/>
          <w:bCs/>
          <w:sz w:val="24"/>
          <w:szCs w:val="24"/>
        </w:rPr>
        <w:t>concernente il</w:t>
      </w:r>
      <w:r w:rsidR="00137A13" w:rsidRPr="00971B83">
        <w:rPr>
          <w:b/>
          <w:bCs/>
          <w:sz w:val="24"/>
          <w:szCs w:val="24"/>
        </w:rPr>
        <w:t xml:space="preserve"> </w:t>
      </w:r>
      <w:r w:rsidR="00335E5A" w:rsidRPr="00971B83">
        <w:rPr>
          <w:b/>
          <w:bCs/>
          <w:sz w:val="24"/>
          <w:szCs w:val="24"/>
        </w:rPr>
        <w:t>“</w:t>
      </w:r>
      <w:r w:rsidR="00335E5A" w:rsidRPr="00971B83">
        <w:rPr>
          <w:b/>
          <w:bCs/>
          <w:i/>
          <w:iCs/>
          <w:sz w:val="24"/>
          <w:szCs w:val="24"/>
        </w:rPr>
        <w:t>Regolamento recante norme per la determinazione dei canoni relativi a concessioni demaniali marittime per finalità turistico-ricreative</w:t>
      </w:r>
      <w:r w:rsidR="00E57DB3" w:rsidRPr="00971B83">
        <w:rPr>
          <w:b/>
          <w:bCs/>
          <w:sz w:val="24"/>
          <w:szCs w:val="24"/>
        </w:rPr>
        <w:t>”</w:t>
      </w:r>
      <w:r w:rsidR="00CC7B49" w:rsidRPr="00971B83">
        <w:rPr>
          <w:b/>
          <w:bCs/>
          <w:sz w:val="24"/>
          <w:szCs w:val="24"/>
        </w:rPr>
        <w:t>;</w:t>
      </w:r>
    </w:p>
    <w:p w14:paraId="0D972BC8" w14:textId="37E0F67C" w:rsidR="00D51436" w:rsidRDefault="00D51436" w:rsidP="00DC1B36">
      <w:pPr>
        <w:spacing w:before="120"/>
        <w:jc w:val="both"/>
        <w:rPr>
          <w:sz w:val="24"/>
          <w:szCs w:val="24"/>
        </w:rPr>
      </w:pPr>
      <w:r>
        <w:rPr>
          <w:sz w:val="24"/>
          <w:szCs w:val="24"/>
        </w:rPr>
        <w:t>Ritenuto necessario</w:t>
      </w:r>
      <w:r w:rsidR="00606151">
        <w:rPr>
          <w:sz w:val="24"/>
          <w:szCs w:val="24"/>
        </w:rPr>
        <w:t xml:space="preserve"> che</w:t>
      </w:r>
      <w:r w:rsidR="00640077">
        <w:rPr>
          <w:sz w:val="24"/>
          <w:szCs w:val="24"/>
        </w:rPr>
        <w:t xml:space="preserve">, al fine di </w:t>
      </w:r>
      <w:r>
        <w:rPr>
          <w:sz w:val="24"/>
          <w:szCs w:val="24"/>
        </w:rPr>
        <w:t xml:space="preserve">stabilire i </w:t>
      </w:r>
      <w:r w:rsidRPr="002A7173">
        <w:rPr>
          <w:sz w:val="24"/>
          <w:szCs w:val="24"/>
        </w:rPr>
        <w:t xml:space="preserve">criteri </w:t>
      </w:r>
      <w:r>
        <w:rPr>
          <w:sz w:val="24"/>
          <w:szCs w:val="24"/>
        </w:rPr>
        <w:t xml:space="preserve">per la determinazione dell’equa remunerazione da garantire al </w:t>
      </w:r>
      <w:r w:rsidRPr="002A7173">
        <w:rPr>
          <w:sz w:val="24"/>
          <w:szCs w:val="24"/>
        </w:rPr>
        <w:t>concessionario sugli investimenti effettuati negli ultimi cinque anni</w:t>
      </w:r>
      <w:r>
        <w:rPr>
          <w:sz w:val="24"/>
          <w:szCs w:val="24"/>
        </w:rPr>
        <w:t xml:space="preserve">, </w:t>
      </w:r>
      <w:r w:rsidR="00590B31">
        <w:rPr>
          <w:sz w:val="24"/>
          <w:szCs w:val="24"/>
        </w:rPr>
        <w:t xml:space="preserve">siano contestualmente chiariti i criteri per la determinazione dell’indennizzo sulla base degli </w:t>
      </w:r>
      <w:r w:rsidR="00606151">
        <w:rPr>
          <w:sz w:val="24"/>
          <w:szCs w:val="24"/>
        </w:rPr>
        <w:t>investimenti</w:t>
      </w:r>
      <w:r w:rsidR="00590B31">
        <w:rPr>
          <w:sz w:val="24"/>
          <w:szCs w:val="24"/>
        </w:rPr>
        <w:t xml:space="preserve"> effettuati e non ammortizzati</w:t>
      </w:r>
      <w:r w:rsidR="004B4C45">
        <w:rPr>
          <w:sz w:val="24"/>
          <w:szCs w:val="24"/>
        </w:rPr>
        <w:t xml:space="preserve"> ai sensi de</w:t>
      </w:r>
      <w:r>
        <w:rPr>
          <w:sz w:val="24"/>
          <w:szCs w:val="24"/>
        </w:rPr>
        <w:t>ll’articolo 4, comma 9, della legge n. 118 del 2022;</w:t>
      </w:r>
    </w:p>
    <w:p w14:paraId="5998099E" w14:textId="7DF7CA88" w:rsidR="00D51436" w:rsidRPr="00675D40" w:rsidRDefault="00D51436" w:rsidP="00D51436">
      <w:pPr>
        <w:spacing w:before="120"/>
        <w:jc w:val="both"/>
        <w:rPr>
          <w:sz w:val="24"/>
          <w:szCs w:val="24"/>
        </w:rPr>
      </w:pPr>
      <w:r>
        <w:rPr>
          <w:sz w:val="24"/>
          <w:szCs w:val="24"/>
        </w:rPr>
        <w:t>Ritenuto, inoltre, che al fine di assicurare al concessionario uscente un’equa remunerazione degli investimenti effettuati, è opportuno procedere a rivalutare</w:t>
      </w:r>
      <w:r w:rsidR="007F622C">
        <w:rPr>
          <w:sz w:val="24"/>
          <w:szCs w:val="24"/>
        </w:rPr>
        <w:t xml:space="preserve"> i beni d’impresa</w:t>
      </w:r>
      <w:r>
        <w:rPr>
          <w:sz w:val="24"/>
          <w:szCs w:val="24"/>
        </w:rPr>
        <w:t xml:space="preserve">, ai soli fini del calcolo dell’indennizzo di cui all’articolo 4, comma 9 e con esclusione, pertanto di ogni effetto civilistico o fiscale, applicando a tal fine, per quanto </w:t>
      </w:r>
      <w:r w:rsidR="00A83E6B">
        <w:rPr>
          <w:sz w:val="24"/>
          <w:szCs w:val="24"/>
        </w:rPr>
        <w:t>compatibili</w:t>
      </w:r>
      <w:r>
        <w:rPr>
          <w:sz w:val="24"/>
          <w:szCs w:val="24"/>
        </w:rPr>
        <w:t xml:space="preserve">, i criteri di cui alle disposizioni della </w:t>
      </w:r>
      <w:r w:rsidRPr="00E673EA">
        <w:rPr>
          <w:sz w:val="24"/>
          <w:szCs w:val="24"/>
        </w:rPr>
        <w:t xml:space="preserve">sezione II del capo I della legge 21 </w:t>
      </w:r>
      <w:r w:rsidRPr="00675D40">
        <w:rPr>
          <w:sz w:val="24"/>
          <w:szCs w:val="24"/>
        </w:rPr>
        <w:t>novembre 2000, n. 342;</w:t>
      </w:r>
    </w:p>
    <w:p w14:paraId="149C1BE0" w14:textId="24475411" w:rsidR="00444E22" w:rsidRPr="00675D40" w:rsidRDefault="00D47A51" w:rsidP="00D51436">
      <w:pPr>
        <w:spacing w:before="120"/>
        <w:jc w:val="both"/>
        <w:rPr>
          <w:sz w:val="24"/>
          <w:szCs w:val="24"/>
        </w:rPr>
      </w:pPr>
      <w:r w:rsidRPr="00675D40">
        <w:rPr>
          <w:sz w:val="24"/>
          <w:szCs w:val="24"/>
        </w:rPr>
        <w:t xml:space="preserve">Ritenuto necessario </w:t>
      </w:r>
      <w:r w:rsidR="00444E22" w:rsidRPr="00675D40">
        <w:rPr>
          <w:sz w:val="24"/>
          <w:szCs w:val="24"/>
        </w:rPr>
        <w:t xml:space="preserve">coordinare i criteri per la determinazione </w:t>
      </w:r>
      <w:r w:rsidR="0072125E" w:rsidRPr="00675D40">
        <w:rPr>
          <w:sz w:val="24"/>
          <w:szCs w:val="24"/>
        </w:rPr>
        <w:t xml:space="preserve">degli investimenti non ammortizzati </w:t>
      </w:r>
      <w:r w:rsidR="000966F4" w:rsidRPr="00675D40">
        <w:rPr>
          <w:sz w:val="24"/>
          <w:szCs w:val="24"/>
        </w:rPr>
        <w:t xml:space="preserve">con </w:t>
      </w:r>
      <w:r w:rsidR="00D30B5D" w:rsidRPr="00675D40">
        <w:rPr>
          <w:sz w:val="24"/>
          <w:szCs w:val="24"/>
        </w:rPr>
        <w:t xml:space="preserve">i criteri </w:t>
      </w:r>
      <w:r w:rsidR="00444E22" w:rsidRPr="00675D40">
        <w:rPr>
          <w:sz w:val="24"/>
          <w:szCs w:val="24"/>
        </w:rPr>
        <w:t>d</w:t>
      </w:r>
      <w:r w:rsidR="00D30B5D" w:rsidRPr="00675D40">
        <w:rPr>
          <w:sz w:val="24"/>
          <w:szCs w:val="24"/>
        </w:rPr>
        <w:t>i</w:t>
      </w:r>
      <w:r w:rsidR="00444E22" w:rsidRPr="00675D40">
        <w:rPr>
          <w:sz w:val="24"/>
          <w:szCs w:val="24"/>
        </w:rPr>
        <w:t xml:space="preserve"> calcolo dell’equa remunerazione degli investimenti </w:t>
      </w:r>
      <w:r w:rsidRPr="00675D40">
        <w:rPr>
          <w:sz w:val="24"/>
          <w:szCs w:val="24"/>
        </w:rPr>
        <w:t xml:space="preserve">già ammortizzati </w:t>
      </w:r>
      <w:r w:rsidR="00444E22" w:rsidRPr="00675D40">
        <w:rPr>
          <w:sz w:val="24"/>
          <w:szCs w:val="24"/>
        </w:rPr>
        <w:t>di cui all’articolo 4, comma 9, della legge 5 agosto 2022, n. 118</w:t>
      </w:r>
      <w:r w:rsidR="00021243" w:rsidRPr="00675D40">
        <w:rPr>
          <w:sz w:val="24"/>
          <w:szCs w:val="24"/>
        </w:rPr>
        <w:t xml:space="preserve">, attraverso una rivalutazione </w:t>
      </w:r>
      <w:r w:rsidR="00854EE4" w:rsidRPr="00675D40">
        <w:rPr>
          <w:sz w:val="24"/>
          <w:szCs w:val="24"/>
        </w:rPr>
        <w:t>di tutti gli investimenti</w:t>
      </w:r>
      <w:r w:rsidRPr="00675D40">
        <w:rPr>
          <w:sz w:val="24"/>
          <w:szCs w:val="24"/>
        </w:rPr>
        <w:t>;</w:t>
      </w:r>
    </w:p>
    <w:p w14:paraId="41A185E5" w14:textId="6E25429C" w:rsidR="007F15F7" w:rsidRDefault="007F15F7" w:rsidP="00DC1B36">
      <w:pPr>
        <w:spacing w:before="120"/>
        <w:jc w:val="both"/>
        <w:rPr>
          <w:sz w:val="24"/>
          <w:szCs w:val="24"/>
        </w:rPr>
      </w:pPr>
      <w:r w:rsidRPr="00675D40">
        <w:rPr>
          <w:sz w:val="24"/>
          <w:szCs w:val="24"/>
        </w:rPr>
        <w:t xml:space="preserve">Considerata, inoltre, la necessità di procedere all'aggiornamento dell'entità degli importi unitari dei canoni previsti </w:t>
      </w:r>
      <w:r w:rsidRPr="002A7173">
        <w:rPr>
          <w:sz w:val="24"/>
          <w:szCs w:val="24"/>
        </w:rPr>
        <w:t>dall'articolo 03, comma 1, lettera b)</w:t>
      </w:r>
      <w:r>
        <w:rPr>
          <w:sz w:val="24"/>
          <w:szCs w:val="24"/>
        </w:rPr>
        <w:t xml:space="preserve">, </w:t>
      </w:r>
      <w:r w:rsidRPr="002A7173">
        <w:rPr>
          <w:sz w:val="24"/>
          <w:szCs w:val="24"/>
        </w:rPr>
        <w:t>del decreto-legge 5 ottobre 1993, n. 400, convertito, con modificazioni, dalla legge 4 dicembre 1993, n. 494, nonché dei canoni per le concessioni lacuali e fluviali per finalità turistico-ricreative e sportive</w:t>
      </w:r>
      <w:r>
        <w:rPr>
          <w:sz w:val="24"/>
          <w:szCs w:val="24"/>
        </w:rPr>
        <w:t>, in attuazione di quanto previsto dall’articolo 4, comma 11, della legge n. 118 del 2022;</w:t>
      </w:r>
    </w:p>
    <w:p w14:paraId="24D2F4B3" w14:textId="77777777" w:rsidR="009973BF" w:rsidRDefault="009973BF" w:rsidP="00AA0BEF">
      <w:pPr>
        <w:jc w:val="both"/>
        <w:rPr>
          <w:sz w:val="24"/>
          <w:szCs w:val="24"/>
        </w:rPr>
      </w:pPr>
    </w:p>
    <w:p w14:paraId="590A3E90" w14:textId="77777777" w:rsidR="00E95B91" w:rsidRPr="00CB1C7F" w:rsidRDefault="00E95B91" w:rsidP="00AA0BEF">
      <w:pPr>
        <w:jc w:val="both"/>
        <w:rPr>
          <w:sz w:val="24"/>
          <w:szCs w:val="24"/>
        </w:rPr>
      </w:pPr>
    </w:p>
    <w:p w14:paraId="7EFC5A1E" w14:textId="77777777" w:rsidR="00103B9B" w:rsidRPr="00CB1C7F" w:rsidRDefault="00024247" w:rsidP="00E95B91">
      <w:pPr>
        <w:jc w:val="center"/>
        <w:rPr>
          <w:sz w:val="24"/>
          <w:szCs w:val="24"/>
        </w:rPr>
      </w:pPr>
      <w:r w:rsidRPr="00CB1C7F">
        <w:rPr>
          <w:sz w:val="24"/>
          <w:szCs w:val="24"/>
        </w:rPr>
        <w:t>DECRETA</w:t>
      </w:r>
    </w:p>
    <w:p w14:paraId="321A3586" w14:textId="77777777" w:rsidR="00424450" w:rsidRPr="00CB1C7F" w:rsidRDefault="00424450" w:rsidP="00E95B91">
      <w:pPr>
        <w:jc w:val="both"/>
        <w:rPr>
          <w:sz w:val="24"/>
          <w:szCs w:val="24"/>
        </w:rPr>
      </w:pPr>
    </w:p>
    <w:p w14:paraId="32841CA3" w14:textId="77777777" w:rsidR="009462AD" w:rsidRPr="00CB1C7F" w:rsidRDefault="00103B9B" w:rsidP="00E95B91">
      <w:pPr>
        <w:jc w:val="center"/>
        <w:rPr>
          <w:sz w:val="24"/>
          <w:szCs w:val="24"/>
        </w:rPr>
      </w:pPr>
      <w:r w:rsidRPr="00CB1C7F">
        <w:rPr>
          <w:sz w:val="24"/>
          <w:szCs w:val="24"/>
        </w:rPr>
        <w:t>A</w:t>
      </w:r>
      <w:r w:rsidR="009462AD" w:rsidRPr="00CB1C7F">
        <w:rPr>
          <w:sz w:val="24"/>
          <w:szCs w:val="24"/>
        </w:rPr>
        <w:t>RT.</w:t>
      </w:r>
      <w:r w:rsidRPr="00CB1C7F">
        <w:rPr>
          <w:sz w:val="24"/>
          <w:szCs w:val="24"/>
        </w:rPr>
        <w:t xml:space="preserve"> 1</w:t>
      </w:r>
    </w:p>
    <w:p w14:paraId="114B7395" w14:textId="77777777" w:rsidR="00354517" w:rsidRPr="00CB1C7F" w:rsidRDefault="00354517" w:rsidP="00E95B91">
      <w:pPr>
        <w:jc w:val="center"/>
        <w:rPr>
          <w:i/>
          <w:sz w:val="24"/>
          <w:szCs w:val="24"/>
        </w:rPr>
      </w:pPr>
      <w:r w:rsidRPr="00CB1C7F">
        <w:rPr>
          <w:i/>
          <w:sz w:val="24"/>
          <w:szCs w:val="24"/>
        </w:rPr>
        <w:t>(</w:t>
      </w:r>
      <w:r w:rsidR="00397516" w:rsidRPr="00CB1C7F">
        <w:rPr>
          <w:i/>
          <w:sz w:val="24"/>
          <w:szCs w:val="24"/>
        </w:rPr>
        <w:t>Finalità</w:t>
      </w:r>
      <w:r w:rsidRPr="00CB1C7F">
        <w:rPr>
          <w:i/>
          <w:sz w:val="24"/>
          <w:szCs w:val="24"/>
        </w:rPr>
        <w:t>)</w:t>
      </w:r>
    </w:p>
    <w:p w14:paraId="169DD0DB" w14:textId="77777777" w:rsidR="00354517" w:rsidRPr="00CB1C7F" w:rsidRDefault="00354517" w:rsidP="00E95B91">
      <w:pPr>
        <w:jc w:val="both"/>
        <w:rPr>
          <w:sz w:val="24"/>
          <w:szCs w:val="24"/>
        </w:rPr>
      </w:pPr>
    </w:p>
    <w:p w14:paraId="3D84D9C2" w14:textId="33D8D1BE" w:rsidR="00AC2B7F" w:rsidRDefault="009909DD" w:rsidP="00E64686">
      <w:pPr>
        <w:jc w:val="both"/>
        <w:rPr>
          <w:sz w:val="24"/>
          <w:szCs w:val="24"/>
        </w:rPr>
      </w:pPr>
      <w:r w:rsidRPr="00CB1C7F">
        <w:rPr>
          <w:sz w:val="24"/>
          <w:szCs w:val="24"/>
        </w:rPr>
        <w:t xml:space="preserve">1. Il presente decreto determina, ai sensi </w:t>
      </w:r>
      <w:r w:rsidR="00F429F4" w:rsidRPr="00CB1C7F">
        <w:rPr>
          <w:sz w:val="24"/>
          <w:szCs w:val="24"/>
        </w:rPr>
        <w:t xml:space="preserve">dell’articolo </w:t>
      </w:r>
      <w:r w:rsidR="00E64686">
        <w:rPr>
          <w:sz w:val="24"/>
          <w:szCs w:val="24"/>
        </w:rPr>
        <w:t xml:space="preserve">4, </w:t>
      </w:r>
      <w:r w:rsidR="00E64686" w:rsidRPr="000631FB">
        <w:rPr>
          <w:sz w:val="24"/>
          <w:szCs w:val="24"/>
        </w:rPr>
        <w:t>comm</w:t>
      </w:r>
      <w:r w:rsidR="00E76E80" w:rsidRPr="000631FB">
        <w:rPr>
          <w:sz w:val="24"/>
          <w:szCs w:val="24"/>
        </w:rPr>
        <w:t>a</w:t>
      </w:r>
      <w:r w:rsidR="00E64686" w:rsidRPr="000631FB">
        <w:rPr>
          <w:sz w:val="24"/>
          <w:szCs w:val="24"/>
        </w:rPr>
        <w:t xml:space="preserve"> 9</w:t>
      </w:r>
      <w:r w:rsidR="00E64686">
        <w:rPr>
          <w:sz w:val="24"/>
          <w:szCs w:val="24"/>
        </w:rPr>
        <w:t>, del</w:t>
      </w:r>
      <w:r w:rsidR="00082048">
        <w:rPr>
          <w:sz w:val="24"/>
          <w:szCs w:val="24"/>
        </w:rPr>
        <w:t xml:space="preserve">la legge </w:t>
      </w:r>
      <w:r w:rsidR="00082048" w:rsidRPr="00082048">
        <w:rPr>
          <w:sz w:val="24"/>
          <w:szCs w:val="24"/>
        </w:rPr>
        <w:t>5 agosto 2022, n. 118</w:t>
      </w:r>
      <w:r w:rsidR="00F236F0">
        <w:rPr>
          <w:sz w:val="24"/>
          <w:szCs w:val="24"/>
        </w:rPr>
        <w:t>, i criteri per la determinazione dell’</w:t>
      </w:r>
      <w:r w:rsidR="006933CB">
        <w:rPr>
          <w:sz w:val="24"/>
          <w:szCs w:val="24"/>
        </w:rPr>
        <w:t>indennizzo</w:t>
      </w:r>
      <w:r w:rsidR="00F236F0">
        <w:rPr>
          <w:sz w:val="24"/>
          <w:szCs w:val="24"/>
        </w:rPr>
        <w:t xml:space="preserve"> dovuto da parte del concessionario subentrante al concessionario uscente, </w:t>
      </w:r>
      <w:r w:rsidR="00BD0470">
        <w:rPr>
          <w:sz w:val="24"/>
          <w:szCs w:val="24"/>
        </w:rPr>
        <w:t>calcolat</w:t>
      </w:r>
      <w:r w:rsidR="006725DB">
        <w:rPr>
          <w:sz w:val="24"/>
          <w:szCs w:val="24"/>
        </w:rPr>
        <w:t>o</w:t>
      </w:r>
      <w:r w:rsidR="00BD0470">
        <w:rPr>
          <w:sz w:val="24"/>
          <w:szCs w:val="24"/>
        </w:rPr>
        <w:t xml:space="preserve"> come sommatoria:</w:t>
      </w:r>
    </w:p>
    <w:p w14:paraId="3924EB07" w14:textId="36F46F02" w:rsidR="000262BE" w:rsidRPr="002B14F1" w:rsidRDefault="00BD0470" w:rsidP="00AC2B7F">
      <w:pPr>
        <w:ind w:left="426"/>
        <w:jc w:val="both"/>
        <w:rPr>
          <w:sz w:val="24"/>
          <w:szCs w:val="24"/>
        </w:rPr>
      </w:pPr>
      <w:r>
        <w:rPr>
          <w:sz w:val="24"/>
          <w:szCs w:val="24"/>
        </w:rPr>
        <w:t xml:space="preserve">a) del valore </w:t>
      </w:r>
      <w:r w:rsidR="00444E22" w:rsidRPr="002B14F1">
        <w:rPr>
          <w:sz w:val="24"/>
          <w:szCs w:val="24"/>
        </w:rPr>
        <w:t xml:space="preserve">degli </w:t>
      </w:r>
      <w:r w:rsidR="000262BE" w:rsidRPr="002B14F1">
        <w:rPr>
          <w:sz w:val="24"/>
          <w:szCs w:val="24"/>
        </w:rPr>
        <w:t xml:space="preserve">investimenti </w:t>
      </w:r>
      <w:r>
        <w:rPr>
          <w:sz w:val="24"/>
          <w:szCs w:val="24"/>
        </w:rPr>
        <w:t xml:space="preserve">effettuati e </w:t>
      </w:r>
      <w:r w:rsidR="000262BE" w:rsidRPr="002B14F1">
        <w:rPr>
          <w:sz w:val="24"/>
          <w:szCs w:val="24"/>
        </w:rPr>
        <w:t xml:space="preserve">non </w:t>
      </w:r>
      <w:r>
        <w:rPr>
          <w:sz w:val="24"/>
          <w:szCs w:val="24"/>
        </w:rPr>
        <w:t xml:space="preserve">ancora </w:t>
      </w:r>
      <w:r w:rsidR="000262BE" w:rsidRPr="002B14F1">
        <w:rPr>
          <w:sz w:val="24"/>
          <w:szCs w:val="24"/>
        </w:rPr>
        <w:t>ammortizzati al termine della concessione</w:t>
      </w:r>
      <w:r w:rsidR="006725DB">
        <w:rPr>
          <w:sz w:val="24"/>
          <w:szCs w:val="24"/>
        </w:rPr>
        <w:t>, determinato ai sensi dell’articolo 2</w:t>
      </w:r>
      <w:r w:rsidR="000262BE" w:rsidRPr="002B14F1">
        <w:rPr>
          <w:sz w:val="24"/>
          <w:szCs w:val="24"/>
        </w:rPr>
        <w:t>;</w:t>
      </w:r>
    </w:p>
    <w:p w14:paraId="101736AC" w14:textId="035904B4" w:rsidR="00E64686" w:rsidRDefault="000262BE" w:rsidP="00E64686">
      <w:pPr>
        <w:ind w:left="426"/>
        <w:jc w:val="both"/>
        <w:rPr>
          <w:sz w:val="24"/>
          <w:szCs w:val="24"/>
        </w:rPr>
      </w:pPr>
      <w:r w:rsidRPr="002B14F1">
        <w:rPr>
          <w:sz w:val="24"/>
          <w:szCs w:val="24"/>
        </w:rPr>
        <w:t>b</w:t>
      </w:r>
      <w:r w:rsidR="00E64686" w:rsidRPr="002B14F1">
        <w:rPr>
          <w:sz w:val="24"/>
          <w:szCs w:val="24"/>
        </w:rPr>
        <w:t xml:space="preserve">) </w:t>
      </w:r>
      <w:r w:rsidR="00BD0470">
        <w:rPr>
          <w:sz w:val="24"/>
          <w:szCs w:val="24"/>
        </w:rPr>
        <w:t>dell</w:t>
      </w:r>
      <w:r w:rsidR="00E64686" w:rsidRPr="00E64686">
        <w:rPr>
          <w:sz w:val="24"/>
          <w:szCs w:val="24"/>
        </w:rPr>
        <w:t>'equa</w:t>
      </w:r>
      <w:r w:rsidR="00E64686">
        <w:rPr>
          <w:sz w:val="24"/>
          <w:szCs w:val="24"/>
        </w:rPr>
        <w:t xml:space="preserve"> </w:t>
      </w:r>
      <w:r w:rsidR="00E64686" w:rsidRPr="00E64686">
        <w:rPr>
          <w:sz w:val="24"/>
          <w:szCs w:val="24"/>
        </w:rPr>
        <w:t>remunerazione</w:t>
      </w:r>
      <w:r w:rsidR="00E64686">
        <w:rPr>
          <w:sz w:val="24"/>
          <w:szCs w:val="24"/>
        </w:rPr>
        <w:t xml:space="preserve"> </w:t>
      </w:r>
      <w:r w:rsidR="00E64686" w:rsidRPr="00E64686">
        <w:rPr>
          <w:sz w:val="24"/>
          <w:szCs w:val="24"/>
        </w:rPr>
        <w:t>sugli</w:t>
      </w:r>
      <w:r w:rsidR="00E64686">
        <w:rPr>
          <w:sz w:val="24"/>
          <w:szCs w:val="24"/>
        </w:rPr>
        <w:t xml:space="preserve"> </w:t>
      </w:r>
      <w:r w:rsidR="00E64686" w:rsidRPr="00E64686">
        <w:rPr>
          <w:sz w:val="24"/>
          <w:szCs w:val="24"/>
        </w:rPr>
        <w:t>investimenti</w:t>
      </w:r>
      <w:r w:rsidR="00E64686">
        <w:rPr>
          <w:sz w:val="24"/>
          <w:szCs w:val="24"/>
        </w:rPr>
        <w:t xml:space="preserve"> </w:t>
      </w:r>
      <w:r w:rsidR="00E64686" w:rsidRPr="00E64686">
        <w:rPr>
          <w:sz w:val="24"/>
          <w:szCs w:val="24"/>
        </w:rPr>
        <w:t>effettuati negli ultimi cinque anni</w:t>
      </w:r>
      <w:r w:rsidR="006725DB">
        <w:rPr>
          <w:sz w:val="24"/>
          <w:szCs w:val="24"/>
        </w:rPr>
        <w:t>, determinata ai sensi dell’articolo 3</w:t>
      </w:r>
      <w:r w:rsidR="002351A9">
        <w:rPr>
          <w:sz w:val="24"/>
          <w:szCs w:val="24"/>
        </w:rPr>
        <w:t>.</w:t>
      </w:r>
    </w:p>
    <w:p w14:paraId="3179F499" w14:textId="5685AA9B" w:rsidR="00E64686" w:rsidRDefault="00BD0470" w:rsidP="00B6000D">
      <w:pPr>
        <w:jc w:val="both"/>
        <w:rPr>
          <w:sz w:val="24"/>
          <w:szCs w:val="24"/>
        </w:rPr>
      </w:pPr>
      <w:r>
        <w:rPr>
          <w:sz w:val="24"/>
          <w:szCs w:val="24"/>
        </w:rPr>
        <w:t xml:space="preserve">2. Il presente decreto determina, altresì, </w:t>
      </w:r>
      <w:r w:rsidR="00E76E80" w:rsidRPr="000631FB">
        <w:rPr>
          <w:sz w:val="24"/>
          <w:szCs w:val="24"/>
        </w:rPr>
        <w:t xml:space="preserve">ai sensi dell’articolo 4, comma </w:t>
      </w:r>
      <w:r w:rsidR="009D1E65" w:rsidRPr="000631FB">
        <w:rPr>
          <w:sz w:val="24"/>
          <w:szCs w:val="24"/>
        </w:rPr>
        <w:t>11</w:t>
      </w:r>
      <w:r w:rsidR="00E76E80" w:rsidRPr="000631FB">
        <w:rPr>
          <w:sz w:val="24"/>
          <w:szCs w:val="24"/>
        </w:rPr>
        <w:t>, della legge 5 agosto 2022, n. 118</w:t>
      </w:r>
      <w:r w:rsidR="009D1E65">
        <w:rPr>
          <w:sz w:val="24"/>
          <w:szCs w:val="24"/>
        </w:rPr>
        <w:t xml:space="preserve">, </w:t>
      </w:r>
      <w:r>
        <w:rPr>
          <w:sz w:val="24"/>
          <w:szCs w:val="24"/>
        </w:rPr>
        <w:t xml:space="preserve">i criteri per </w:t>
      </w:r>
      <w:r w:rsidR="00E64686">
        <w:rPr>
          <w:sz w:val="24"/>
          <w:szCs w:val="24"/>
        </w:rPr>
        <w:t xml:space="preserve">l’aggiornamento dell’entità degli </w:t>
      </w:r>
      <w:r w:rsidR="00E64686" w:rsidRPr="00E64686">
        <w:rPr>
          <w:sz w:val="24"/>
          <w:szCs w:val="24"/>
        </w:rPr>
        <w:t>importi</w:t>
      </w:r>
      <w:r w:rsidR="00E64686">
        <w:rPr>
          <w:sz w:val="24"/>
          <w:szCs w:val="24"/>
        </w:rPr>
        <w:t xml:space="preserve"> </w:t>
      </w:r>
      <w:r w:rsidR="00E64686" w:rsidRPr="00E64686">
        <w:rPr>
          <w:sz w:val="24"/>
          <w:szCs w:val="24"/>
        </w:rPr>
        <w:t>unitari</w:t>
      </w:r>
      <w:r w:rsidR="00E64686">
        <w:rPr>
          <w:sz w:val="24"/>
          <w:szCs w:val="24"/>
        </w:rPr>
        <w:t xml:space="preserve"> dei canoni </w:t>
      </w:r>
      <w:r w:rsidR="00E64686" w:rsidRPr="00E64686">
        <w:rPr>
          <w:sz w:val="24"/>
          <w:szCs w:val="24"/>
        </w:rPr>
        <w:t>previsti</w:t>
      </w:r>
      <w:r w:rsidR="00E64686">
        <w:rPr>
          <w:sz w:val="24"/>
          <w:szCs w:val="24"/>
        </w:rPr>
        <w:t xml:space="preserve"> </w:t>
      </w:r>
      <w:r w:rsidR="00E64686" w:rsidRPr="00E64686">
        <w:rPr>
          <w:sz w:val="24"/>
          <w:szCs w:val="24"/>
        </w:rPr>
        <w:t>dall'articolo 03, comma 1,</w:t>
      </w:r>
      <w:r w:rsidR="00E64686">
        <w:rPr>
          <w:sz w:val="24"/>
          <w:szCs w:val="24"/>
        </w:rPr>
        <w:t xml:space="preserve"> </w:t>
      </w:r>
      <w:r w:rsidR="00E64686" w:rsidRPr="00E64686">
        <w:rPr>
          <w:sz w:val="24"/>
          <w:szCs w:val="24"/>
        </w:rPr>
        <w:t>lettera</w:t>
      </w:r>
      <w:r w:rsidR="00E64686">
        <w:rPr>
          <w:sz w:val="24"/>
          <w:szCs w:val="24"/>
        </w:rPr>
        <w:t xml:space="preserve"> </w:t>
      </w:r>
      <w:r w:rsidR="00E64686" w:rsidRPr="00E64686">
        <w:rPr>
          <w:sz w:val="24"/>
          <w:szCs w:val="24"/>
        </w:rPr>
        <w:t>b)</w:t>
      </w:r>
      <w:r w:rsidR="00E64686">
        <w:rPr>
          <w:sz w:val="24"/>
          <w:szCs w:val="24"/>
        </w:rPr>
        <w:t xml:space="preserve">, </w:t>
      </w:r>
      <w:r w:rsidR="00E64686" w:rsidRPr="00617A0B">
        <w:rPr>
          <w:sz w:val="24"/>
          <w:szCs w:val="24"/>
        </w:rPr>
        <w:t>del decreto-legge 5 ottobre 1993, n. 400, convertito, con modificazioni, dalla legge 4 dicembre 1993, n. 494</w:t>
      </w:r>
      <w:r w:rsidR="00E64686" w:rsidRPr="00CE0269">
        <w:rPr>
          <w:b/>
          <w:bCs/>
          <w:strike/>
          <w:sz w:val="24"/>
          <w:szCs w:val="24"/>
        </w:rPr>
        <w:t>, nonché dei canoni per le concessioni lacuali e fluviali per finalità turistico-ricreative e sportive</w:t>
      </w:r>
      <w:r w:rsidR="00E64686" w:rsidRPr="00CE0269">
        <w:rPr>
          <w:b/>
          <w:bCs/>
          <w:sz w:val="24"/>
          <w:szCs w:val="24"/>
        </w:rPr>
        <w:t>.</w:t>
      </w:r>
      <w:r w:rsidR="00E64686" w:rsidRPr="00E64686">
        <w:rPr>
          <w:sz w:val="24"/>
          <w:szCs w:val="24"/>
        </w:rPr>
        <w:t xml:space="preserve"> </w:t>
      </w:r>
    </w:p>
    <w:p w14:paraId="31E47E6E" w14:textId="6D555ED5" w:rsidR="00E64686" w:rsidRDefault="00F236F0" w:rsidP="000262BE">
      <w:pPr>
        <w:jc w:val="both"/>
        <w:rPr>
          <w:sz w:val="24"/>
          <w:szCs w:val="24"/>
        </w:rPr>
      </w:pPr>
      <w:r>
        <w:rPr>
          <w:sz w:val="24"/>
          <w:szCs w:val="24"/>
        </w:rPr>
        <w:t xml:space="preserve"> </w:t>
      </w:r>
    </w:p>
    <w:p w14:paraId="47127C90" w14:textId="0DB05FF2" w:rsidR="000262BE" w:rsidRPr="00CB1C7F" w:rsidRDefault="000262BE" w:rsidP="000262BE">
      <w:pPr>
        <w:jc w:val="center"/>
        <w:rPr>
          <w:sz w:val="24"/>
          <w:szCs w:val="24"/>
        </w:rPr>
      </w:pPr>
      <w:r w:rsidRPr="00CB1C7F">
        <w:rPr>
          <w:sz w:val="24"/>
          <w:szCs w:val="24"/>
        </w:rPr>
        <w:t xml:space="preserve">ART. </w:t>
      </w:r>
      <w:r>
        <w:rPr>
          <w:sz w:val="24"/>
          <w:szCs w:val="24"/>
        </w:rPr>
        <w:t>2</w:t>
      </w:r>
    </w:p>
    <w:p w14:paraId="2B4170F0" w14:textId="5747C784" w:rsidR="000262BE" w:rsidRPr="00E01683" w:rsidRDefault="000262BE" w:rsidP="000262BE">
      <w:pPr>
        <w:jc w:val="center"/>
        <w:rPr>
          <w:i/>
          <w:sz w:val="24"/>
          <w:szCs w:val="24"/>
        </w:rPr>
      </w:pPr>
      <w:r w:rsidRPr="002B14F1">
        <w:rPr>
          <w:i/>
          <w:sz w:val="24"/>
          <w:szCs w:val="24"/>
        </w:rPr>
        <w:t>(</w:t>
      </w:r>
      <w:r w:rsidR="005918A5" w:rsidRPr="002B14F1">
        <w:rPr>
          <w:i/>
          <w:sz w:val="24"/>
          <w:szCs w:val="24"/>
        </w:rPr>
        <w:t xml:space="preserve">Criteri di </w:t>
      </w:r>
      <w:r w:rsidR="002B14F1" w:rsidRPr="002B14F1">
        <w:rPr>
          <w:i/>
          <w:sz w:val="24"/>
          <w:szCs w:val="24"/>
        </w:rPr>
        <w:t>d</w:t>
      </w:r>
      <w:r w:rsidRPr="002B14F1">
        <w:rPr>
          <w:i/>
          <w:sz w:val="24"/>
          <w:szCs w:val="24"/>
        </w:rPr>
        <w:t>eterminazione</w:t>
      </w:r>
      <w:r>
        <w:rPr>
          <w:i/>
          <w:sz w:val="24"/>
          <w:szCs w:val="24"/>
        </w:rPr>
        <w:t xml:space="preserve"> </w:t>
      </w:r>
      <w:r w:rsidR="00BD0470" w:rsidRPr="00E01683">
        <w:rPr>
          <w:i/>
          <w:sz w:val="24"/>
          <w:szCs w:val="24"/>
        </w:rPr>
        <w:t xml:space="preserve">del valore </w:t>
      </w:r>
      <w:r w:rsidRPr="00E01683">
        <w:rPr>
          <w:i/>
          <w:sz w:val="24"/>
          <w:szCs w:val="24"/>
        </w:rPr>
        <w:t>degli investimenti</w:t>
      </w:r>
      <w:r w:rsidR="00327FB3" w:rsidRPr="00E01683">
        <w:rPr>
          <w:i/>
          <w:sz w:val="24"/>
          <w:szCs w:val="24"/>
        </w:rPr>
        <w:t xml:space="preserve"> </w:t>
      </w:r>
      <w:r w:rsidR="00BD0470" w:rsidRPr="00E01683">
        <w:rPr>
          <w:i/>
          <w:sz w:val="24"/>
          <w:szCs w:val="24"/>
        </w:rPr>
        <w:t xml:space="preserve">effettuati e </w:t>
      </w:r>
      <w:r w:rsidR="00327FB3" w:rsidRPr="00E01683">
        <w:rPr>
          <w:i/>
          <w:sz w:val="24"/>
          <w:szCs w:val="24"/>
        </w:rPr>
        <w:t xml:space="preserve">non </w:t>
      </w:r>
      <w:r w:rsidR="00BD0470" w:rsidRPr="00E01683">
        <w:rPr>
          <w:i/>
          <w:sz w:val="24"/>
          <w:szCs w:val="24"/>
        </w:rPr>
        <w:t xml:space="preserve">ancora </w:t>
      </w:r>
      <w:r w:rsidR="00327FB3" w:rsidRPr="00E01683">
        <w:rPr>
          <w:i/>
          <w:sz w:val="24"/>
          <w:szCs w:val="24"/>
        </w:rPr>
        <w:t>ammortizzati</w:t>
      </w:r>
      <w:r w:rsidRPr="00E01683">
        <w:rPr>
          <w:i/>
          <w:sz w:val="24"/>
          <w:szCs w:val="24"/>
        </w:rPr>
        <w:t>)</w:t>
      </w:r>
    </w:p>
    <w:p w14:paraId="4D3DB67A" w14:textId="77777777" w:rsidR="000262BE" w:rsidRPr="00E01683" w:rsidRDefault="000262BE" w:rsidP="000262BE">
      <w:pPr>
        <w:jc w:val="both"/>
        <w:rPr>
          <w:sz w:val="24"/>
          <w:szCs w:val="24"/>
        </w:rPr>
      </w:pPr>
    </w:p>
    <w:p w14:paraId="2380230F" w14:textId="77777777" w:rsidR="0093523C" w:rsidRDefault="00BD0470" w:rsidP="00657E4D">
      <w:pPr>
        <w:pStyle w:val="Paragrafoelenco"/>
        <w:numPr>
          <w:ilvl w:val="0"/>
          <w:numId w:val="34"/>
        </w:numPr>
        <w:jc w:val="both"/>
      </w:pPr>
      <w:r w:rsidRPr="00CE0269">
        <w:lastRenderedPageBreak/>
        <w:t>A</w:t>
      </w:r>
      <w:r w:rsidR="00DD7750" w:rsidRPr="00CE0269">
        <w:t xml:space="preserve">i </w:t>
      </w:r>
      <w:r w:rsidRPr="00CE0269">
        <w:t xml:space="preserve">fini </w:t>
      </w:r>
      <w:r w:rsidR="00DD7750" w:rsidRPr="00CE0269">
        <w:t xml:space="preserve">dell’articolo </w:t>
      </w:r>
      <w:r w:rsidR="00657E4D" w:rsidRPr="00CE0269">
        <w:t xml:space="preserve">4, comma 9, </w:t>
      </w:r>
      <w:r w:rsidR="00DD7750" w:rsidRPr="00CE0269">
        <w:t xml:space="preserve">della legge 5 agosto 2022, n. 118, </w:t>
      </w:r>
      <w:r w:rsidRPr="00CE0269">
        <w:t>l’indennizzo da riconoscere al concessionario uscente in caso di rilascio della concessione a favore di un nuovo concessionario rispetto agli investimenti effettuati e non ancora ammortizzati è determinato in relazione al</w:t>
      </w:r>
      <w:r w:rsidR="006725DB" w:rsidRPr="00CE0269">
        <w:t xml:space="preserve"> valore nominale degli investimenti </w:t>
      </w:r>
      <w:r w:rsidR="00444E22" w:rsidRPr="00CE0269">
        <w:t xml:space="preserve">iscritti </w:t>
      </w:r>
      <w:r w:rsidR="00444E22" w:rsidRPr="0093523C">
        <w:rPr>
          <w:b/>
          <w:bCs/>
          <w:strike/>
        </w:rPr>
        <w:t>in bilancio</w:t>
      </w:r>
      <w:r w:rsidR="00186A1A" w:rsidRPr="0093523C">
        <w:rPr>
          <w:b/>
          <w:bCs/>
        </w:rPr>
        <w:t xml:space="preserve"> nell’ultimo bilancio disponibile</w:t>
      </w:r>
      <w:r w:rsidR="00C02CFC" w:rsidRPr="00CE0269">
        <w:t>, strumentali all’esercizio della concessione demaniale marittima</w:t>
      </w:r>
      <w:r w:rsidR="00EF6DD3" w:rsidRPr="00CE0269">
        <w:t>,</w:t>
      </w:r>
      <w:r w:rsidR="00444E22" w:rsidRPr="00CE0269">
        <w:t xml:space="preserve"> relativi a</w:t>
      </w:r>
      <w:r w:rsidR="008A2EFD" w:rsidRPr="00CE0269">
        <w:t xml:space="preserve"> tutte le immobilizzazioni</w:t>
      </w:r>
      <w:r w:rsidR="00BE31B4" w:rsidRPr="00CE0269">
        <w:t>,</w:t>
      </w:r>
      <w:r w:rsidR="00444E22" w:rsidRPr="00CE0269">
        <w:t xml:space="preserve"> materiali e immateriali</w:t>
      </w:r>
      <w:r w:rsidR="00BE31B4" w:rsidRPr="00CE0269">
        <w:t>,</w:t>
      </w:r>
      <w:r w:rsidRPr="00CE0269">
        <w:t xml:space="preserve"> </w:t>
      </w:r>
      <w:r w:rsidR="009745C7" w:rsidRPr="00CE0269">
        <w:t>al netto del fondo ammortamento</w:t>
      </w:r>
      <w:r w:rsidR="00CC4F58" w:rsidRPr="00CE0269">
        <w:t>. Ai soli fini</w:t>
      </w:r>
      <w:r w:rsidR="0093523C" w:rsidRPr="0093523C">
        <w:rPr>
          <w:b/>
          <w:bCs/>
        </w:rPr>
        <w:t xml:space="preserve"> di cui al presente articolo</w:t>
      </w:r>
      <w:r w:rsidR="00CC4F58" w:rsidRPr="00CE0269">
        <w:t xml:space="preserve">, </w:t>
      </w:r>
      <w:r w:rsidR="0093523C" w:rsidRPr="0093523C">
        <w:rPr>
          <w:b/>
          <w:bCs/>
        </w:rPr>
        <w:t xml:space="preserve">nell’ultimo bilancio disponibile </w:t>
      </w:r>
      <w:r w:rsidR="00CE0269" w:rsidRPr="0093523C">
        <w:rPr>
          <w:b/>
          <w:bCs/>
        </w:rPr>
        <w:t>i beni materiali e immateriali costituenti immobilizzazioni</w:t>
      </w:r>
      <w:r w:rsidR="00CE0269">
        <w:t xml:space="preserve"> </w:t>
      </w:r>
      <w:r w:rsidR="00CC4F58" w:rsidRPr="0093523C">
        <w:rPr>
          <w:b/>
          <w:bCs/>
          <w:strike/>
        </w:rPr>
        <w:t>che concorrono alla determinazione dell’indennizzo</w:t>
      </w:r>
      <w:r w:rsidR="0093523C">
        <w:t xml:space="preserve"> </w:t>
      </w:r>
      <w:r w:rsidR="0093523C" w:rsidRPr="0093523C">
        <w:rPr>
          <w:b/>
          <w:bCs/>
        </w:rPr>
        <w:t xml:space="preserve">possono essere </w:t>
      </w:r>
      <w:r w:rsidR="00701F65" w:rsidRPr="00CE0269">
        <w:t xml:space="preserve">rivalutati, </w:t>
      </w:r>
      <w:r w:rsidR="006725DB" w:rsidRPr="00CE0269">
        <w:t xml:space="preserve">secondo i criteri di cui </w:t>
      </w:r>
      <w:r w:rsidR="0093523C" w:rsidRPr="0093523C">
        <w:rPr>
          <w:b/>
          <w:bCs/>
        </w:rPr>
        <w:t xml:space="preserve">all’articolo 11 </w:t>
      </w:r>
      <w:r w:rsidR="006725DB" w:rsidRPr="0093523C">
        <w:rPr>
          <w:b/>
          <w:bCs/>
          <w:strike/>
        </w:rPr>
        <w:t>alla sezione II del capo I</w:t>
      </w:r>
      <w:r w:rsidR="006725DB" w:rsidRPr="00CE0269">
        <w:t xml:space="preserve"> della</w:t>
      </w:r>
      <w:r w:rsidR="00E9404B" w:rsidRPr="00CE0269">
        <w:t xml:space="preserve"> </w:t>
      </w:r>
      <w:r w:rsidR="006725DB" w:rsidRPr="00CE0269">
        <w:t>legge 21 novembre 2000, n. 342, in quanto applicabili</w:t>
      </w:r>
      <w:r w:rsidR="002351A9" w:rsidRPr="00CE0269">
        <w:t>.</w:t>
      </w:r>
      <w:r w:rsidR="008B6E95" w:rsidRPr="00CE0269">
        <w:t xml:space="preserve"> </w:t>
      </w:r>
      <w:r w:rsidR="00E9404B" w:rsidRPr="00CE0269">
        <w:t>Concorrono alla determinazione del valore nominale degli investimenti iscritti in bilancio le immobilizzazioni immateriali conseguenti all’acquisto dell’azienda, iscritte come differenza tra il prezzo di cessione e il valore contabile assunto in capo al cedente.</w:t>
      </w:r>
    </w:p>
    <w:p w14:paraId="499B138E" w14:textId="6EDC635D" w:rsidR="0093523C" w:rsidRDefault="006725DB" w:rsidP="00657E4D">
      <w:pPr>
        <w:pStyle w:val="Paragrafoelenco"/>
        <w:numPr>
          <w:ilvl w:val="0"/>
          <w:numId w:val="34"/>
        </w:numPr>
        <w:jc w:val="both"/>
      </w:pPr>
      <w:r w:rsidRPr="0093523C">
        <w:t xml:space="preserve">Dalle somme di cui al comma </w:t>
      </w:r>
      <w:r w:rsidR="00E9404B" w:rsidRPr="0093523C">
        <w:t>1</w:t>
      </w:r>
      <w:r w:rsidR="0093523C">
        <w:t xml:space="preserve"> </w:t>
      </w:r>
      <w:r w:rsidRPr="0093523C">
        <w:t xml:space="preserve">sono detratti gli importi erogati a titolo </w:t>
      </w:r>
      <w:r w:rsidR="00DD7750" w:rsidRPr="0093523C">
        <w:t>di aiuto o sovvenzione pubblica percepit</w:t>
      </w:r>
      <w:r w:rsidRPr="0093523C">
        <w:t>i</w:t>
      </w:r>
      <w:r w:rsidR="00DD7750" w:rsidRPr="0093523C">
        <w:t xml:space="preserve"> e non rimborsat</w:t>
      </w:r>
      <w:r w:rsidRPr="0093523C">
        <w:t>i</w:t>
      </w:r>
      <w:r w:rsidR="00327FB3" w:rsidRPr="0093523C">
        <w:t>.</w:t>
      </w:r>
    </w:p>
    <w:p w14:paraId="13080250" w14:textId="2CA287F9" w:rsidR="00CC4F58" w:rsidRPr="0093523C" w:rsidRDefault="00AC5C7E" w:rsidP="00657E4D">
      <w:pPr>
        <w:pStyle w:val="Paragrafoelenco"/>
        <w:numPr>
          <w:ilvl w:val="0"/>
          <w:numId w:val="34"/>
        </w:numPr>
        <w:jc w:val="both"/>
      </w:pPr>
      <w:r w:rsidRPr="0093523C">
        <w:t xml:space="preserve">In caso di redazione del bilancio in forma abbreviata o in altre forme semplificate, il concessionario uscente attesta il valore residuo </w:t>
      </w:r>
      <w:r w:rsidRPr="00944A04">
        <w:t>degli investimenti</w:t>
      </w:r>
      <w:r w:rsidR="00944A04">
        <w:t>,</w:t>
      </w:r>
      <w:r w:rsidRPr="00944A04">
        <w:rPr>
          <w:b/>
          <w:bCs/>
        </w:rPr>
        <w:t xml:space="preserve"> </w:t>
      </w:r>
      <w:r w:rsidR="00944A04">
        <w:rPr>
          <w:b/>
          <w:bCs/>
        </w:rPr>
        <w:t xml:space="preserve">previa rivalutazione </w:t>
      </w:r>
      <w:r w:rsidR="00900F2F" w:rsidRPr="0093523C">
        <w:rPr>
          <w:b/>
          <w:bCs/>
        </w:rPr>
        <w:t>delle immobilizzazioni materiali e immateriali</w:t>
      </w:r>
      <w:r w:rsidR="00944A04">
        <w:t xml:space="preserve"> nel rispetto del limite di valore di cui </w:t>
      </w:r>
      <w:r w:rsidR="00944A04" w:rsidRPr="0093523C">
        <w:rPr>
          <w:b/>
          <w:bCs/>
        </w:rPr>
        <w:t>all’articolo 11</w:t>
      </w:r>
      <w:r w:rsidR="00944A04">
        <w:rPr>
          <w:b/>
          <w:bCs/>
        </w:rPr>
        <w:t xml:space="preserve">, comma 2, </w:t>
      </w:r>
      <w:r w:rsidR="00944A04" w:rsidRPr="00CE0269">
        <w:t>della legge 21 novembre 2000, n. 342</w:t>
      </w:r>
      <w:r w:rsidR="00944A04">
        <w:t xml:space="preserve">, </w:t>
      </w:r>
      <w:r w:rsidRPr="0093523C">
        <w:t xml:space="preserve">con perizia rilasciata in forma asseverata e con esplicita dichiarazione di responsabilità da parte di un professionista individuato dal concessionario. </w:t>
      </w:r>
    </w:p>
    <w:p w14:paraId="7C997B0D" w14:textId="77777777" w:rsidR="00DD7750" w:rsidRPr="00E01683" w:rsidRDefault="00DD7750" w:rsidP="000262BE">
      <w:pPr>
        <w:jc w:val="both"/>
        <w:rPr>
          <w:sz w:val="24"/>
          <w:szCs w:val="24"/>
        </w:rPr>
      </w:pPr>
    </w:p>
    <w:p w14:paraId="1CCD1D66" w14:textId="742262A5" w:rsidR="00E64686" w:rsidRPr="00E01683" w:rsidRDefault="00E64686" w:rsidP="00E64686">
      <w:pPr>
        <w:jc w:val="center"/>
        <w:rPr>
          <w:sz w:val="24"/>
          <w:szCs w:val="24"/>
        </w:rPr>
      </w:pPr>
      <w:r w:rsidRPr="00E01683">
        <w:rPr>
          <w:sz w:val="24"/>
          <w:szCs w:val="24"/>
        </w:rPr>
        <w:t xml:space="preserve">ART. </w:t>
      </w:r>
      <w:r w:rsidR="00327FB3" w:rsidRPr="00E01683">
        <w:rPr>
          <w:sz w:val="24"/>
          <w:szCs w:val="24"/>
        </w:rPr>
        <w:t>3</w:t>
      </w:r>
    </w:p>
    <w:p w14:paraId="03EDA2C2" w14:textId="4131BBD0" w:rsidR="00E64686" w:rsidRPr="00E01683" w:rsidRDefault="00E64686" w:rsidP="00E64686">
      <w:pPr>
        <w:jc w:val="center"/>
        <w:rPr>
          <w:i/>
          <w:sz w:val="24"/>
          <w:szCs w:val="24"/>
        </w:rPr>
      </w:pPr>
      <w:r w:rsidRPr="00E01683">
        <w:rPr>
          <w:i/>
          <w:sz w:val="24"/>
          <w:szCs w:val="24"/>
        </w:rPr>
        <w:t>(</w:t>
      </w:r>
      <w:r w:rsidR="00327FB3" w:rsidRPr="00E01683">
        <w:rPr>
          <w:i/>
          <w:sz w:val="24"/>
          <w:szCs w:val="24"/>
        </w:rPr>
        <w:t>E</w:t>
      </w:r>
      <w:r w:rsidRPr="00E01683">
        <w:rPr>
          <w:i/>
          <w:sz w:val="24"/>
          <w:szCs w:val="24"/>
        </w:rPr>
        <w:t>qua remunerazione sugli investimenti effettuati)</w:t>
      </w:r>
    </w:p>
    <w:p w14:paraId="2B12C4DC" w14:textId="77777777" w:rsidR="00E64686" w:rsidRPr="00E01683" w:rsidRDefault="00E64686" w:rsidP="00E64686">
      <w:pPr>
        <w:jc w:val="both"/>
        <w:rPr>
          <w:sz w:val="24"/>
          <w:szCs w:val="24"/>
        </w:rPr>
      </w:pPr>
    </w:p>
    <w:p w14:paraId="0E6D20C9" w14:textId="255FEEDD" w:rsidR="00DC41F2" w:rsidRPr="00E01683" w:rsidRDefault="00657E4D" w:rsidP="00657E4D">
      <w:pPr>
        <w:jc w:val="both"/>
        <w:rPr>
          <w:sz w:val="24"/>
          <w:szCs w:val="24"/>
        </w:rPr>
      </w:pPr>
      <w:r w:rsidRPr="00E01683">
        <w:rPr>
          <w:sz w:val="24"/>
          <w:szCs w:val="24"/>
        </w:rPr>
        <w:t xml:space="preserve">1. </w:t>
      </w:r>
      <w:r w:rsidR="00AC630E" w:rsidRPr="00E01683">
        <w:rPr>
          <w:sz w:val="24"/>
          <w:szCs w:val="24"/>
        </w:rPr>
        <w:t xml:space="preserve">Il valore dell’equa remunerazione </w:t>
      </w:r>
      <w:r w:rsidR="008C0424" w:rsidRPr="00E01683">
        <w:rPr>
          <w:sz w:val="24"/>
          <w:szCs w:val="24"/>
        </w:rPr>
        <w:t xml:space="preserve">di cui all’articolo 1, comma 1, lettera </w:t>
      </w:r>
      <w:r w:rsidR="00327FB3" w:rsidRPr="00E01683">
        <w:rPr>
          <w:sz w:val="24"/>
          <w:szCs w:val="24"/>
        </w:rPr>
        <w:t>b</w:t>
      </w:r>
      <w:r w:rsidR="008C0424" w:rsidRPr="00E01683">
        <w:rPr>
          <w:sz w:val="24"/>
          <w:szCs w:val="24"/>
        </w:rPr>
        <w:t>)</w:t>
      </w:r>
      <w:r w:rsidR="00082048" w:rsidRPr="00E01683">
        <w:rPr>
          <w:sz w:val="24"/>
          <w:szCs w:val="24"/>
        </w:rPr>
        <w:t xml:space="preserve">, </w:t>
      </w:r>
      <w:r w:rsidR="008C0424" w:rsidRPr="00E01683">
        <w:rPr>
          <w:sz w:val="24"/>
          <w:szCs w:val="24"/>
        </w:rPr>
        <w:t xml:space="preserve">è </w:t>
      </w:r>
      <w:r w:rsidR="00DC41F2" w:rsidRPr="00E01683">
        <w:rPr>
          <w:sz w:val="24"/>
          <w:szCs w:val="24"/>
        </w:rPr>
        <w:t xml:space="preserve">determinato: </w:t>
      </w:r>
    </w:p>
    <w:p w14:paraId="542E5CE1" w14:textId="27351C24" w:rsidR="00DC41F2" w:rsidRPr="00E01683" w:rsidRDefault="00657E4D" w:rsidP="00657E4D">
      <w:pPr>
        <w:ind w:left="426"/>
        <w:jc w:val="both"/>
        <w:rPr>
          <w:sz w:val="24"/>
          <w:szCs w:val="24"/>
        </w:rPr>
      </w:pPr>
      <w:r w:rsidRPr="00E01683">
        <w:rPr>
          <w:sz w:val="24"/>
          <w:szCs w:val="24"/>
        </w:rPr>
        <w:t xml:space="preserve">a) </w:t>
      </w:r>
      <w:r w:rsidR="0024615C" w:rsidRPr="00E01683">
        <w:rPr>
          <w:sz w:val="24"/>
          <w:szCs w:val="24"/>
        </w:rPr>
        <w:t>a</w:t>
      </w:r>
      <w:r w:rsidR="00DC41F2" w:rsidRPr="00E01683">
        <w:rPr>
          <w:sz w:val="24"/>
          <w:szCs w:val="24"/>
        </w:rPr>
        <w:t xml:space="preserve">dottando come base di calcolo il valore nominale </w:t>
      </w:r>
      <w:r w:rsidR="00D33F13">
        <w:rPr>
          <w:b/>
          <w:bCs/>
          <w:sz w:val="24"/>
          <w:szCs w:val="24"/>
        </w:rPr>
        <w:t xml:space="preserve">iniziale </w:t>
      </w:r>
      <w:r w:rsidR="00DC41F2" w:rsidRPr="00E01683">
        <w:rPr>
          <w:sz w:val="24"/>
          <w:szCs w:val="24"/>
        </w:rPr>
        <w:t>de</w:t>
      </w:r>
      <w:r w:rsidR="008C0424" w:rsidRPr="00E01683">
        <w:rPr>
          <w:sz w:val="24"/>
          <w:szCs w:val="24"/>
        </w:rPr>
        <w:t>gli investimenti</w:t>
      </w:r>
      <w:r w:rsidR="00BA299A" w:rsidRPr="00E01683">
        <w:rPr>
          <w:sz w:val="24"/>
          <w:szCs w:val="24"/>
        </w:rPr>
        <w:t xml:space="preserve"> iscritti </w:t>
      </w:r>
      <w:r w:rsidR="00BA299A" w:rsidRPr="00D24760">
        <w:rPr>
          <w:b/>
          <w:bCs/>
          <w:strike/>
          <w:sz w:val="24"/>
          <w:szCs w:val="24"/>
        </w:rPr>
        <w:t>nell’ultimo bilancio disponibile</w:t>
      </w:r>
      <w:r w:rsidR="005766EE" w:rsidRPr="00D24760">
        <w:rPr>
          <w:b/>
          <w:bCs/>
          <w:sz w:val="24"/>
          <w:szCs w:val="24"/>
        </w:rPr>
        <w:t xml:space="preserve"> nei bilanci </w:t>
      </w:r>
      <w:r w:rsidR="00D24760" w:rsidRPr="00D24760">
        <w:rPr>
          <w:b/>
          <w:bCs/>
          <w:sz w:val="24"/>
          <w:szCs w:val="24"/>
        </w:rPr>
        <w:t>dei cinque anni antecedenti quello di avvio della procedura di affidamento di cui all’articolo 4, comma 1, della legge 5 agosto 2022, n. 118</w:t>
      </w:r>
      <w:r w:rsidR="00BA299A" w:rsidRPr="00E01683">
        <w:rPr>
          <w:sz w:val="24"/>
          <w:szCs w:val="24"/>
        </w:rPr>
        <w:t>, relativi a tutte le immobilizzazioni, materiali e immateriali</w:t>
      </w:r>
      <w:r w:rsidR="00BA299A">
        <w:rPr>
          <w:sz w:val="24"/>
          <w:szCs w:val="24"/>
        </w:rPr>
        <w:t>,</w:t>
      </w:r>
      <w:r w:rsidR="00BA299A" w:rsidRPr="00E01683">
        <w:rPr>
          <w:sz w:val="24"/>
          <w:szCs w:val="24"/>
        </w:rPr>
        <w:t xml:space="preserve"> strumentali all’esercizio della concessione demaniale marittima</w:t>
      </w:r>
      <w:r w:rsidR="00A34ECF" w:rsidRPr="0020356D">
        <w:rPr>
          <w:b/>
          <w:bCs/>
          <w:strike/>
          <w:sz w:val="24"/>
          <w:szCs w:val="24"/>
        </w:rPr>
        <w:t>,</w:t>
      </w:r>
      <w:r w:rsidR="008C0424" w:rsidRPr="0020356D">
        <w:rPr>
          <w:b/>
          <w:bCs/>
          <w:strike/>
          <w:sz w:val="24"/>
          <w:szCs w:val="24"/>
        </w:rPr>
        <w:t xml:space="preserve"> </w:t>
      </w:r>
      <w:r w:rsidR="000E6F63" w:rsidRPr="0020356D">
        <w:rPr>
          <w:b/>
          <w:bCs/>
          <w:strike/>
          <w:sz w:val="24"/>
          <w:szCs w:val="24"/>
        </w:rPr>
        <w:t xml:space="preserve">per gli importi non compresi nella </w:t>
      </w:r>
      <w:r w:rsidR="00A34ECF" w:rsidRPr="0020356D">
        <w:rPr>
          <w:b/>
          <w:bCs/>
          <w:strike/>
          <w:sz w:val="24"/>
          <w:szCs w:val="24"/>
        </w:rPr>
        <w:t>quota</w:t>
      </w:r>
      <w:r w:rsidR="000E6F63" w:rsidRPr="0020356D">
        <w:rPr>
          <w:b/>
          <w:bCs/>
          <w:strike/>
          <w:sz w:val="24"/>
          <w:szCs w:val="24"/>
        </w:rPr>
        <w:t xml:space="preserve"> di indennizzo di cui all’articolo 2</w:t>
      </w:r>
      <w:r w:rsidR="00A34ECF" w:rsidRPr="0020356D">
        <w:rPr>
          <w:b/>
          <w:bCs/>
          <w:strike/>
          <w:sz w:val="24"/>
          <w:szCs w:val="24"/>
        </w:rPr>
        <w:t>,</w:t>
      </w:r>
      <w:r w:rsidR="000E6F63" w:rsidRPr="0020356D">
        <w:rPr>
          <w:b/>
          <w:bCs/>
          <w:strike/>
          <w:sz w:val="24"/>
          <w:szCs w:val="24"/>
        </w:rPr>
        <w:t xml:space="preserve"> </w:t>
      </w:r>
      <w:r w:rsidR="008C0424" w:rsidRPr="0020356D">
        <w:rPr>
          <w:b/>
          <w:bCs/>
          <w:strike/>
          <w:sz w:val="24"/>
          <w:szCs w:val="24"/>
        </w:rPr>
        <w:t>effettuati nei cinque anni antecedenti quello di avvio della procedura di affidamento di cui all’articolo 4, comma 1, del</w:t>
      </w:r>
      <w:r w:rsidR="00082048" w:rsidRPr="0020356D">
        <w:rPr>
          <w:b/>
          <w:bCs/>
          <w:strike/>
          <w:sz w:val="24"/>
          <w:szCs w:val="24"/>
        </w:rPr>
        <w:t>la legge 5 agosto 2022, n. 118</w:t>
      </w:r>
      <w:r w:rsidR="00E5368F" w:rsidRPr="00E01683">
        <w:rPr>
          <w:sz w:val="24"/>
          <w:szCs w:val="24"/>
        </w:rPr>
        <w:t>;</w:t>
      </w:r>
    </w:p>
    <w:p w14:paraId="1800191E" w14:textId="11F2D8B4" w:rsidR="00DC41F2" w:rsidRPr="00081146" w:rsidRDefault="00657E4D" w:rsidP="00657E4D">
      <w:pPr>
        <w:ind w:left="426"/>
        <w:jc w:val="both"/>
        <w:rPr>
          <w:sz w:val="24"/>
          <w:szCs w:val="24"/>
        </w:rPr>
      </w:pPr>
      <w:r w:rsidRPr="00081146">
        <w:rPr>
          <w:sz w:val="24"/>
          <w:szCs w:val="24"/>
        </w:rPr>
        <w:t xml:space="preserve">b) </w:t>
      </w:r>
      <w:r w:rsidR="0024615C" w:rsidRPr="00081146">
        <w:rPr>
          <w:sz w:val="24"/>
          <w:szCs w:val="24"/>
        </w:rPr>
        <w:t>r</w:t>
      </w:r>
      <w:r w:rsidR="00DC41F2" w:rsidRPr="00081146">
        <w:rPr>
          <w:sz w:val="24"/>
          <w:szCs w:val="24"/>
        </w:rPr>
        <w:t xml:space="preserve">ivalutando </w:t>
      </w:r>
      <w:r w:rsidR="00830E9C" w:rsidRPr="00081146">
        <w:rPr>
          <w:sz w:val="24"/>
          <w:szCs w:val="24"/>
        </w:rPr>
        <w:t xml:space="preserve">il valore </w:t>
      </w:r>
      <w:r w:rsidR="00E13028" w:rsidRPr="00081146">
        <w:rPr>
          <w:sz w:val="24"/>
          <w:szCs w:val="24"/>
        </w:rPr>
        <w:t>di cui alla lettera a)</w:t>
      </w:r>
      <w:r w:rsidR="00082048" w:rsidRPr="00081146">
        <w:rPr>
          <w:sz w:val="24"/>
          <w:szCs w:val="24"/>
        </w:rPr>
        <w:t>, ai soli fini del</w:t>
      </w:r>
      <w:r w:rsidR="0080724D" w:rsidRPr="00081146">
        <w:rPr>
          <w:sz w:val="24"/>
          <w:szCs w:val="24"/>
        </w:rPr>
        <w:t xml:space="preserve">la presente disposizione, </w:t>
      </w:r>
      <w:r w:rsidR="00E673EA" w:rsidRPr="00081146">
        <w:rPr>
          <w:sz w:val="24"/>
          <w:szCs w:val="24"/>
        </w:rPr>
        <w:t xml:space="preserve">secondo </w:t>
      </w:r>
      <w:r w:rsidR="00C829B9" w:rsidRPr="00081146">
        <w:rPr>
          <w:sz w:val="24"/>
          <w:szCs w:val="24"/>
        </w:rPr>
        <w:t xml:space="preserve">i criteri di cui alla </w:t>
      </w:r>
      <w:r w:rsidR="00E673EA" w:rsidRPr="00081146">
        <w:rPr>
          <w:sz w:val="24"/>
          <w:szCs w:val="24"/>
        </w:rPr>
        <w:t>sezione II del capo I della legge 21 novembre 2000, n. 342,</w:t>
      </w:r>
      <w:r w:rsidR="00C829B9" w:rsidRPr="00081146">
        <w:rPr>
          <w:sz w:val="24"/>
          <w:szCs w:val="24"/>
        </w:rPr>
        <w:t xml:space="preserve"> in quanto applicabili</w:t>
      </w:r>
      <w:r w:rsidR="00DC41F2" w:rsidRPr="00081146">
        <w:rPr>
          <w:sz w:val="24"/>
          <w:szCs w:val="24"/>
        </w:rPr>
        <w:t xml:space="preserve">; </w:t>
      </w:r>
    </w:p>
    <w:p w14:paraId="427B7B5A" w14:textId="2F0E33DC" w:rsidR="00B22635" w:rsidRDefault="00657E4D" w:rsidP="00657E4D">
      <w:pPr>
        <w:ind w:left="426"/>
        <w:jc w:val="both"/>
        <w:rPr>
          <w:sz w:val="24"/>
          <w:szCs w:val="24"/>
        </w:rPr>
      </w:pPr>
      <w:r w:rsidRPr="00081146">
        <w:rPr>
          <w:sz w:val="24"/>
          <w:szCs w:val="24"/>
        </w:rPr>
        <w:t xml:space="preserve">c) </w:t>
      </w:r>
      <w:r w:rsidR="00C829B9" w:rsidRPr="00081146">
        <w:rPr>
          <w:sz w:val="24"/>
          <w:szCs w:val="24"/>
        </w:rPr>
        <w:t>applicando</w:t>
      </w:r>
      <w:r w:rsidR="007F4A85" w:rsidRPr="00081146">
        <w:rPr>
          <w:sz w:val="24"/>
          <w:szCs w:val="24"/>
        </w:rPr>
        <w:t xml:space="preserve"> al valore </w:t>
      </w:r>
      <w:r w:rsidR="00364BDB" w:rsidRPr="00081146">
        <w:rPr>
          <w:sz w:val="24"/>
          <w:szCs w:val="24"/>
        </w:rPr>
        <w:t>rivalutato di cui alla lettera b)</w:t>
      </w:r>
      <w:r w:rsidR="00327FB3" w:rsidRPr="00081146">
        <w:rPr>
          <w:sz w:val="24"/>
          <w:szCs w:val="24"/>
        </w:rPr>
        <w:t xml:space="preserve">, per ciascun anno del quinquennio di cui </w:t>
      </w:r>
      <w:r w:rsidR="00892DF1" w:rsidRPr="00081146">
        <w:rPr>
          <w:sz w:val="24"/>
          <w:szCs w:val="24"/>
        </w:rPr>
        <w:t>alla lettera a)</w:t>
      </w:r>
      <w:r w:rsidR="00327FB3" w:rsidRPr="00081146">
        <w:rPr>
          <w:sz w:val="24"/>
          <w:szCs w:val="24"/>
        </w:rPr>
        <w:t xml:space="preserve">, il tasso di rendimento medio sui </w:t>
      </w:r>
      <w:r w:rsidR="00EF0C6B" w:rsidRPr="00081146">
        <w:rPr>
          <w:sz w:val="24"/>
          <w:szCs w:val="24"/>
        </w:rPr>
        <w:t>buoni del tesoro poliennali (</w:t>
      </w:r>
      <w:r w:rsidR="00327FB3" w:rsidRPr="00081146">
        <w:rPr>
          <w:sz w:val="24"/>
          <w:szCs w:val="24"/>
        </w:rPr>
        <w:t>BTP</w:t>
      </w:r>
      <w:r w:rsidR="00EF0C6B" w:rsidRPr="00081146">
        <w:rPr>
          <w:sz w:val="24"/>
          <w:szCs w:val="24"/>
        </w:rPr>
        <w:t>)</w:t>
      </w:r>
      <w:r w:rsidR="00327FB3" w:rsidRPr="00081146">
        <w:rPr>
          <w:sz w:val="24"/>
          <w:szCs w:val="24"/>
        </w:rPr>
        <w:t xml:space="preserve"> decennali</w:t>
      </w:r>
      <w:r w:rsidR="00B22635" w:rsidRPr="00081146">
        <w:rPr>
          <w:sz w:val="24"/>
          <w:szCs w:val="24"/>
        </w:rPr>
        <w:t>.</w:t>
      </w:r>
    </w:p>
    <w:p w14:paraId="66CE6BC7" w14:textId="77777777" w:rsidR="00513B8B" w:rsidRDefault="00513B8B" w:rsidP="00657E4D">
      <w:pPr>
        <w:ind w:left="426"/>
        <w:jc w:val="both"/>
        <w:rPr>
          <w:sz w:val="24"/>
          <w:szCs w:val="24"/>
        </w:rPr>
      </w:pPr>
    </w:p>
    <w:p w14:paraId="43928D59" w14:textId="06C2A2BE" w:rsidR="00513B8B" w:rsidRPr="00042130" w:rsidRDefault="00513B8B" w:rsidP="001A07AF">
      <w:pPr>
        <w:ind w:left="426"/>
        <w:jc w:val="center"/>
        <w:rPr>
          <w:b/>
          <w:bCs/>
          <w:sz w:val="24"/>
          <w:szCs w:val="24"/>
        </w:rPr>
      </w:pPr>
      <w:r w:rsidRPr="00042130">
        <w:rPr>
          <w:b/>
          <w:bCs/>
          <w:sz w:val="24"/>
          <w:szCs w:val="24"/>
        </w:rPr>
        <w:t>ART. 4</w:t>
      </w:r>
    </w:p>
    <w:p w14:paraId="75166203" w14:textId="6DAB29D7" w:rsidR="00513B8B" w:rsidRPr="00042130" w:rsidRDefault="00513B8B" w:rsidP="001A07AF">
      <w:pPr>
        <w:ind w:left="426"/>
        <w:jc w:val="center"/>
        <w:rPr>
          <w:b/>
          <w:bCs/>
          <w:sz w:val="24"/>
          <w:szCs w:val="24"/>
        </w:rPr>
      </w:pPr>
      <w:r w:rsidRPr="00042130">
        <w:rPr>
          <w:b/>
          <w:bCs/>
          <w:sz w:val="24"/>
          <w:szCs w:val="24"/>
        </w:rPr>
        <w:t>(</w:t>
      </w:r>
      <w:r w:rsidR="00543CB9" w:rsidRPr="00042130">
        <w:rPr>
          <w:b/>
          <w:bCs/>
          <w:i/>
          <w:iCs/>
          <w:sz w:val="24"/>
          <w:szCs w:val="24"/>
        </w:rPr>
        <w:t>Termini e modalità di corresponsione dell’indennizzo</w:t>
      </w:r>
      <w:r w:rsidR="001A07AF" w:rsidRPr="00042130">
        <w:rPr>
          <w:b/>
          <w:bCs/>
          <w:sz w:val="24"/>
          <w:szCs w:val="24"/>
        </w:rPr>
        <w:t>)</w:t>
      </w:r>
    </w:p>
    <w:p w14:paraId="49490939" w14:textId="77777777" w:rsidR="000D7372" w:rsidRPr="00042130" w:rsidRDefault="000D7372" w:rsidP="001A07AF">
      <w:pPr>
        <w:ind w:left="426"/>
        <w:jc w:val="center"/>
        <w:rPr>
          <w:b/>
          <w:bCs/>
          <w:sz w:val="24"/>
          <w:szCs w:val="24"/>
        </w:rPr>
      </w:pPr>
    </w:p>
    <w:p w14:paraId="303ACC9A" w14:textId="40FF8B8D" w:rsidR="00DF01D7" w:rsidRPr="00042130" w:rsidRDefault="001A07AF" w:rsidP="00DF01D7">
      <w:pPr>
        <w:jc w:val="both"/>
        <w:rPr>
          <w:b/>
          <w:bCs/>
          <w:sz w:val="24"/>
          <w:szCs w:val="24"/>
        </w:rPr>
      </w:pPr>
      <w:r w:rsidRPr="00042130">
        <w:rPr>
          <w:b/>
          <w:bCs/>
          <w:sz w:val="24"/>
          <w:szCs w:val="24"/>
        </w:rPr>
        <w:t>1</w:t>
      </w:r>
      <w:r w:rsidR="00DF01D7" w:rsidRPr="00042130">
        <w:rPr>
          <w:b/>
          <w:bCs/>
          <w:sz w:val="24"/>
          <w:szCs w:val="24"/>
        </w:rPr>
        <w:t>. Il pagamento dell’indennizzo di cui all’articolo 1, comma 1, è corrisposto al concessionario uscente in misura non inferiore al venti per cento all’atto dell’aggiudicazione della concessione demaniale e</w:t>
      </w:r>
      <w:r w:rsidR="005D51F0" w:rsidRPr="00042130">
        <w:rPr>
          <w:b/>
          <w:bCs/>
          <w:sz w:val="24"/>
          <w:szCs w:val="24"/>
        </w:rPr>
        <w:t>,</w:t>
      </w:r>
      <w:r w:rsidR="00DF01D7" w:rsidRPr="00042130">
        <w:rPr>
          <w:b/>
          <w:bCs/>
          <w:sz w:val="24"/>
          <w:szCs w:val="24"/>
        </w:rPr>
        <w:t xml:space="preserve"> per la restante parte</w:t>
      </w:r>
      <w:r w:rsidR="005D51F0" w:rsidRPr="00042130">
        <w:rPr>
          <w:b/>
          <w:bCs/>
          <w:sz w:val="24"/>
          <w:szCs w:val="24"/>
        </w:rPr>
        <w:t>,</w:t>
      </w:r>
      <w:r w:rsidR="00DF01D7" w:rsidRPr="00042130">
        <w:rPr>
          <w:b/>
          <w:bCs/>
          <w:sz w:val="24"/>
          <w:szCs w:val="24"/>
        </w:rPr>
        <w:t xml:space="preserve"> non oltre il termine di sei mesi dall’aggiudicazione medesima.</w:t>
      </w:r>
    </w:p>
    <w:p w14:paraId="1C70D782" w14:textId="33A95868" w:rsidR="00DF01D7" w:rsidRPr="00042130" w:rsidRDefault="000D7372" w:rsidP="00DF01D7">
      <w:pPr>
        <w:jc w:val="both"/>
        <w:rPr>
          <w:b/>
          <w:bCs/>
          <w:sz w:val="24"/>
          <w:szCs w:val="24"/>
        </w:rPr>
      </w:pPr>
      <w:r w:rsidRPr="00042130">
        <w:rPr>
          <w:b/>
          <w:bCs/>
          <w:sz w:val="24"/>
          <w:szCs w:val="24"/>
        </w:rPr>
        <w:lastRenderedPageBreak/>
        <w:t>2</w:t>
      </w:r>
      <w:r w:rsidR="00DF01D7" w:rsidRPr="00042130">
        <w:rPr>
          <w:b/>
          <w:bCs/>
          <w:sz w:val="24"/>
          <w:szCs w:val="24"/>
        </w:rPr>
        <w:t xml:space="preserve">. </w:t>
      </w:r>
      <w:r w:rsidR="007B79DB" w:rsidRPr="00042130">
        <w:rPr>
          <w:b/>
          <w:bCs/>
          <w:sz w:val="24"/>
          <w:szCs w:val="24"/>
        </w:rPr>
        <w:t>Il pagamento dell’i</w:t>
      </w:r>
      <w:r w:rsidR="00DF01D7" w:rsidRPr="00042130">
        <w:rPr>
          <w:b/>
          <w:bCs/>
          <w:sz w:val="24"/>
          <w:szCs w:val="24"/>
        </w:rPr>
        <w:t xml:space="preserve">ndennizzo </w:t>
      </w:r>
      <w:r w:rsidR="00551ECB" w:rsidRPr="00042130">
        <w:rPr>
          <w:b/>
          <w:bCs/>
          <w:sz w:val="24"/>
          <w:szCs w:val="24"/>
        </w:rPr>
        <w:t xml:space="preserve">di cui all’articolo 1, comma 1, </w:t>
      </w:r>
      <w:r w:rsidR="00DF01D7" w:rsidRPr="00042130">
        <w:rPr>
          <w:b/>
          <w:bCs/>
          <w:sz w:val="24"/>
          <w:szCs w:val="24"/>
        </w:rPr>
        <w:t>da corrispondere al concessionario uscente</w:t>
      </w:r>
      <w:r w:rsidR="007B79DB" w:rsidRPr="00042130">
        <w:rPr>
          <w:b/>
          <w:bCs/>
          <w:sz w:val="24"/>
          <w:szCs w:val="24"/>
        </w:rPr>
        <w:t>, è garant</w:t>
      </w:r>
      <w:r w:rsidR="00E90CFE">
        <w:rPr>
          <w:b/>
          <w:bCs/>
          <w:sz w:val="24"/>
          <w:szCs w:val="24"/>
        </w:rPr>
        <w:t>ito</w:t>
      </w:r>
      <w:r w:rsidR="007B79DB" w:rsidRPr="00042130">
        <w:rPr>
          <w:b/>
          <w:bCs/>
          <w:sz w:val="24"/>
          <w:szCs w:val="24"/>
        </w:rPr>
        <w:t xml:space="preserve"> dal concessionario subentrante</w:t>
      </w:r>
      <w:r w:rsidR="00042130" w:rsidRPr="00042130">
        <w:rPr>
          <w:b/>
          <w:bCs/>
          <w:sz w:val="24"/>
          <w:szCs w:val="24"/>
        </w:rPr>
        <w:t xml:space="preserve"> </w:t>
      </w:r>
      <w:r w:rsidR="00E90CFE">
        <w:rPr>
          <w:b/>
          <w:bCs/>
          <w:sz w:val="24"/>
          <w:szCs w:val="24"/>
        </w:rPr>
        <w:t>mediante</w:t>
      </w:r>
      <w:r w:rsidR="00042130" w:rsidRPr="00042130">
        <w:rPr>
          <w:b/>
          <w:bCs/>
          <w:sz w:val="24"/>
          <w:szCs w:val="24"/>
        </w:rPr>
        <w:t xml:space="preserve"> </w:t>
      </w:r>
      <w:r w:rsidR="00DF01D7" w:rsidRPr="00042130">
        <w:rPr>
          <w:b/>
          <w:bCs/>
          <w:sz w:val="24"/>
          <w:szCs w:val="24"/>
        </w:rPr>
        <w:t>la cauzione di cui all’articolo 4, comma 4, lettera f), della legge n. 118 del 2022.</w:t>
      </w:r>
    </w:p>
    <w:p w14:paraId="2C3A0A12" w14:textId="269FEE8B" w:rsidR="00E64686" w:rsidRDefault="00E64686" w:rsidP="00327FB3">
      <w:pPr>
        <w:jc w:val="both"/>
        <w:rPr>
          <w:sz w:val="24"/>
          <w:szCs w:val="24"/>
        </w:rPr>
      </w:pPr>
    </w:p>
    <w:p w14:paraId="015DC2B7" w14:textId="056C3372" w:rsidR="00103B9B" w:rsidRPr="00CB1C7F" w:rsidRDefault="00103B9B" w:rsidP="00E95B91">
      <w:pPr>
        <w:pStyle w:val="Corpodeltesto1"/>
        <w:ind w:left="426" w:hanging="426"/>
        <w:jc w:val="center"/>
        <w:rPr>
          <w:iCs/>
          <w:szCs w:val="24"/>
        </w:rPr>
      </w:pPr>
      <w:r w:rsidRPr="00CB1C7F">
        <w:rPr>
          <w:iCs/>
          <w:szCs w:val="24"/>
        </w:rPr>
        <w:t>A</w:t>
      </w:r>
      <w:r w:rsidR="009462AD" w:rsidRPr="00CB1C7F">
        <w:rPr>
          <w:iCs/>
          <w:szCs w:val="24"/>
        </w:rPr>
        <w:t xml:space="preserve">RT. </w:t>
      </w:r>
      <w:r w:rsidR="00996D11">
        <w:rPr>
          <w:iCs/>
          <w:szCs w:val="24"/>
        </w:rPr>
        <w:t>5</w:t>
      </w:r>
    </w:p>
    <w:p w14:paraId="05039551" w14:textId="3A4DD01A" w:rsidR="00103B9B" w:rsidRPr="00CB1C7F" w:rsidRDefault="00103B9B" w:rsidP="00E95B91">
      <w:pPr>
        <w:pStyle w:val="Corpodeltesto1"/>
        <w:ind w:left="426" w:hanging="426"/>
        <w:jc w:val="center"/>
        <w:rPr>
          <w:i/>
          <w:szCs w:val="24"/>
        </w:rPr>
      </w:pPr>
      <w:r w:rsidRPr="00CB1C7F">
        <w:rPr>
          <w:i/>
          <w:szCs w:val="24"/>
        </w:rPr>
        <w:t>(</w:t>
      </w:r>
      <w:r w:rsidR="00FA1925">
        <w:rPr>
          <w:i/>
          <w:szCs w:val="24"/>
        </w:rPr>
        <w:t>Canoni</w:t>
      </w:r>
      <w:r w:rsidRPr="00CB1C7F">
        <w:rPr>
          <w:i/>
          <w:szCs w:val="24"/>
        </w:rPr>
        <w:t>)</w:t>
      </w:r>
    </w:p>
    <w:p w14:paraId="504701F9" w14:textId="77777777" w:rsidR="009973BF" w:rsidRDefault="009973BF" w:rsidP="001615B2">
      <w:pPr>
        <w:jc w:val="both"/>
        <w:rPr>
          <w:sz w:val="24"/>
          <w:szCs w:val="24"/>
        </w:rPr>
      </w:pPr>
    </w:p>
    <w:p w14:paraId="741AF47A" w14:textId="0330D226" w:rsidR="007F15F7" w:rsidRDefault="007F15F7" w:rsidP="00BD4DD3">
      <w:pPr>
        <w:jc w:val="both"/>
        <w:rPr>
          <w:sz w:val="24"/>
          <w:szCs w:val="24"/>
        </w:rPr>
      </w:pPr>
      <w:r>
        <w:rPr>
          <w:sz w:val="24"/>
          <w:szCs w:val="24"/>
        </w:rPr>
        <w:t xml:space="preserve">1. </w:t>
      </w:r>
      <w:r w:rsidR="003C4D40">
        <w:rPr>
          <w:sz w:val="24"/>
          <w:szCs w:val="24"/>
        </w:rPr>
        <w:t xml:space="preserve">A decorrere dal </w:t>
      </w:r>
      <w:r w:rsidR="009D5565">
        <w:rPr>
          <w:sz w:val="24"/>
          <w:szCs w:val="24"/>
        </w:rPr>
        <w:t>1° aprile 2025</w:t>
      </w:r>
      <w:r w:rsidR="00BD4DD3">
        <w:rPr>
          <w:sz w:val="24"/>
          <w:szCs w:val="24"/>
        </w:rPr>
        <w:t xml:space="preserve">, </w:t>
      </w:r>
      <w:r w:rsidR="009D5565" w:rsidRPr="00996D11">
        <w:rPr>
          <w:b/>
          <w:bCs/>
          <w:strike/>
          <w:sz w:val="24"/>
          <w:szCs w:val="24"/>
        </w:rPr>
        <w:t>a)</w:t>
      </w:r>
      <w:r w:rsidR="009D5565">
        <w:rPr>
          <w:sz w:val="24"/>
          <w:szCs w:val="24"/>
        </w:rPr>
        <w:t xml:space="preserve"> g</w:t>
      </w:r>
      <w:r>
        <w:rPr>
          <w:sz w:val="24"/>
          <w:szCs w:val="24"/>
        </w:rPr>
        <w:t xml:space="preserve">li importi dei canoni di cui all’articolo 03, </w:t>
      </w:r>
      <w:r w:rsidRPr="007F15F7">
        <w:rPr>
          <w:sz w:val="24"/>
          <w:szCs w:val="24"/>
        </w:rPr>
        <w:t>comma 1,</w:t>
      </w:r>
      <w:r>
        <w:rPr>
          <w:sz w:val="24"/>
          <w:szCs w:val="24"/>
        </w:rPr>
        <w:t xml:space="preserve"> </w:t>
      </w:r>
      <w:r w:rsidRPr="007F15F7">
        <w:rPr>
          <w:sz w:val="24"/>
          <w:szCs w:val="24"/>
        </w:rPr>
        <w:t>lettera</w:t>
      </w:r>
      <w:r>
        <w:rPr>
          <w:sz w:val="24"/>
          <w:szCs w:val="24"/>
        </w:rPr>
        <w:t xml:space="preserve"> </w:t>
      </w:r>
      <w:r w:rsidRPr="007F15F7">
        <w:rPr>
          <w:sz w:val="24"/>
          <w:szCs w:val="24"/>
        </w:rPr>
        <w:t>b)</w:t>
      </w:r>
      <w:r>
        <w:rPr>
          <w:sz w:val="24"/>
          <w:szCs w:val="24"/>
        </w:rPr>
        <w:t xml:space="preserve">, </w:t>
      </w:r>
      <w:r w:rsidRPr="007F15F7">
        <w:rPr>
          <w:sz w:val="24"/>
          <w:szCs w:val="24"/>
        </w:rPr>
        <w:t>del</w:t>
      </w:r>
      <w:r>
        <w:rPr>
          <w:sz w:val="24"/>
          <w:szCs w:val="24"/>
        </w:rPr>
        <w:t xml:space="preserve"> </w:t>
      </w:r>
      <w:r w:rsidRPr="007F15F7">
        <w:rPr>
          <w:sz w:val="24"/>
          <w:szCs w:val="24"/>
        </w:rPr>
        <w:t>decreto-legge</w:t>
      </w:r>
      <w:r>
        <w:rPr>
          <w:sz w:val="24"/>
          <w:szCs w:val="24"/>
        </w:rPr>
        <w:t xml:space="preserve"> </w:t>
      </w:r>
      <w:r w:rsidRPr="007F15F7">
        <w:rPr>
          <w:sz w:val="24"/>
          <w:szCs w:val="24"/>
        </w:rPr>
        <w:t>5</w:t>
      </w:r>
      <w:r>
        <w:rPr>
          <w:sz w:val="24"/>
          <w:szCs w:val="24"/>
        </w:rPr>
        <w:t xml:space="preserve"> </w:t>
      </w:r>
      <w:r w:rsidRPr="007F15F7">
        <w:rPr>
          <w:sz w:val="24"/>
          <w:szCs w:val="24"/>
        </w:rPr>
        <w:t>ottobre 1993, n. 400, convertito, con modificazioni,</w:t>
      </w:r>
      <w:r>
        <w:rPr>
          <w:sz w:val="24"/>
          <w:szCs w:val="24"/>
        </w:rPr>
        <w:t xml:space="preserve"> </w:t>
      </w:r>
      <w:r w:rsidRPr="007F15F7">
        <w:rPr>
          <w:sz w:val="24"/>
          <w:szCs w:val="24"/>
        </w:rPr>
        <w:t>dalla</w:t>
      </w:r>
      <w:r>
        <w:rPr>
          <w:sz w:val="24"/>
          <w:szCs w:val="24"/>
        </w:rPr>
        <w:t xml:space="preserve"> </w:t>
      </w:r>
      <w:r w:rsidRPr="007F15F7">
        <w:rPr>
          <w:sz w:val="24"/>
          <w:szCs w:val="24"/>
        </w:rPr>
        <w:t>legge</w:t>
      </w:r>
      <w:r>
        <w:rPr>
          <w:sz w:val="24"/>
          <w:szCs w:val="24"/>
        </w:rPr>
        <w:t xml:space="preserve"> </w:t>
      </w:r>
      <w:r w:rsidRPr="007F15F7">
        <w:rPr>
          <w:sz w:val="24"/>
          <w:szCs w:val="24"/>
        </w:rPr>
        <w:t>4</w:t>
      </w:r>
      <w:r>
        <w:rPr>
          <w:sz w:val="24"/>
          <w:szCs w:val="24"/>
        </w:rPr>
        <w:t xml:space="preserve"> </w:t>
      </w:r>
      <w:r w:rsidRPr="007F15F7">
        <w:rPr>
          <w:sz w:val="24"/>
          <w:szCs w:val="24"/>
        </w:rPr>
        <w:t xml:space="preserve">dicembre 1993, n. 494, </w:t>
      </w:r>
      <w:r>
        <w:rPr>
          <w:sz w:val="24"/>
          <w:szCs w:val="24"/>
        </w:rPr>
        <w:t>sono sostituiti dagli importi di cui all’allegato al presente decreto</w:t>
      </w:r>
      <w:r w:rsidR="0015686C">
        <w:rPr>
          <w:sz w:val="24"/>
          <w:szCs w:val="24"/>
        </w:rPr>
        <w:t>.</w:t>
      </w:r>
      <w:r w:rsidR="009D5565" w:rsidRPr="00996D11">
        <w:rPr>
          <w:b/>
          <w:bCs/>
          <w:strike/>
          <w:sz w:val="24"/>
          <w:szCs w:val="24"/>
        </w:rPr>
        <w:t>;</w:t>
      </w:r>
    </w:p>
    <w:p w14:paraId="3027D994" w14:textId="0F2AF91E" w:rsidR="007F15F7" w:rsidRPr="00996D11" w:rsidRDefault="009D5565" w:rsidP="009D5565">
      <w:pPr>
        <w:ind w:left="426"/>
        <w:jc w:val="both"/>
        <w:rPr>
          <w:b/>
          <w:bCs/>
          <w:strike/>
          <w:sz w:val="24"/>
          <w:szCs w:val="24"/>
        </w:rPr>
      </w:pPr>
      <w:r w:rsidRPr="00996D11">
        <w:rPr>
          <w:b/>
          <w:bCs/>
          <w:strike/>
          <w:sz w:val="24"/>
          <w:szCs w:val="24"/>
        </w:rPr>
        <w:t>b) a</w:t>
      </w:r>
      <w:r w:rsidR="007F15F7" w:rsidRPr="00996D11">
        <w:rPr>
          <w:b/>
          <w:bCs/>
          <w:strike/>
          <w:sz w:val="24"/>
          <w:szCs w:val="24"/>
        </w:rPr>
        <w:t>lle concessioni lacuali e fluviali per finalità turistico-ricreative e sportive si applicano i canoni di cui all’allegato II al presente decreto.</w:t>
      </w:r>
    </w:p>
    <w:p w14:paraId="35460648" w14:textId="47DD8923" w:rsidR="007F15F7" w:rsidRDefault="00E01683" w:rsidP="001615B2">
      <w:pPr>
        <w:jc w:val="both"/>
        <w:rPr>
          <w:sz w:val="24"/>
          <w:szCs w:val="24"/>
        </w:rPr>
      </w:pPr>
      <w:r>
        <w:rPr>
          <w:sz w:val="24"/>
          <w:szCs w:val="24"/>
        </w:rPr>
        <w:t>2. Gli importi di cui al comma 1</w:t>
      </w:r>
      <w:r w:rsidRPr="00542E0B">
        <w:rPr>
          <w:b/>
          <w:bCs/>
          <w:strike/>
          <w:sz w:val="24"/>
          <w:szCs w:val="24"/>
        </w:rPr>
        <w:t>, lettera a),</w:t>
      </w:r>
      <w:r>
        <w:rPr>
          <w:sz w:val="24"/>
          <w:szCs w:val="24"/>
        </w:rPr>
        <w:t xml:space="preserve"> sono rivalutati, ai sensi dell’articolo 04 del decreto-legge n. 400 del 1993, a decorrere dall’anno 1999.</w:t>
      </w:r>
    </w:p>
    <w:p w14:paraId="48E219D6" w14:textId="77777777" w:rsidR="009973BF" w:rsidRDefault="009973BF" w:rsidP="001615B2">
      <w:pPr>
        <w:jc w:val="both"/>
        <w:rPr>
          <w:sz w:val="24"/>
          <w:szCs w:val="24"/>
        </w:rPr>
      </w:pPr>
    </w:p>
    <w:p w14:paraId="7EB16FA9" w14:textId="7A32D944" w:rsidR="001615B2" w:rsidRPr="00B62E15" w:rsidRDefault="001615B2" w:rsidP="009973BF">
      <w:pPr>
        <w:jc w:val="both"/>
        <w:rPr>
          <w:sz w:val="24"/>
          <w:szCs w:val="24"/>
        </w:rPr>
      </w:pPr>
      <w:r w:rsidRPr="00B62E15">
        <w:rPr>
          <w:sz w:val="24"/>
          <w:szCs w:val="24"/>
        </w:rPr>
        <w:t xml:space="preserve">Il presente decreto </w:t>
      </w:r>
      <w:r w:rsidR="009973BF" w:rsidRPr="009973BF">
        <w:rPr>
          <w:sz w:val="24"/>
          <w:szCs w:val="24"/>
        </w:rPr>
        <w:t xml:space="preserve">è trasmesso agli organi di controllo ed è pubblicato nella </w:t>
      </w:r>
      <w:r w:rsidR="009973BF" w:rsidRPr="009973BF">
        <w:rPr>
          <w:i/>
          <w:iCs/>
          <w:sz w:val="24"/>
          <w:szCs w:val="24"/>
        </w:rPr>
        <w:t>Gazzetta Ufficiale</w:t>
      </w:r>
      <w:r w:rsidR="009973BF" w:rsidRPr="009973BF">
        <w:rPr>
          <w:sz w:val="24"/>
          <w:szCs w:val="24"/>
        </w:rPr>
        <w:t xml:space="preserve"> della Repubblica</w:t>
      </w:r>
      <w:r w:rsidRPr="004A7622">
        <w:rPr>
          <w:sz w:val="24"/>
          <w:szCs w:val="24"/>
        </w:rPr>
        <w:t>.</w:t>
      </w:r>
    </w:p>
    <w:p w14:paraId="7815ABEA" w14:textId="77777777" w:rsidR="001615B2" w:rsidRPr="00B62E15" w:rsidRDefault="001615B2" w:rsidP="001615B2">
      <w:pPr>
        <w:pStyle w:val="Corpotesto"/>
        <w:rPr>
          <w:szCs w:val="24"/>
        </w:rPr>
      </w:pPr>
    </w:p>
    <w:p w14:paraId="72712438" w14:textId="77777777" w:rsidR="001615B2" w:rsidRPr="00B62E15" w:rsidRDefault="001615B2" w:rsidP="001615B2">
      <w:pPr>
        <w:pStyle w:val="Corpotesto"/>
        <w:rPr>
          <w:szCs w:val="24"/>
        </w:rPr>
      </w:pPr>
    </w:p>
    <w:p w14:paraId="79876E0E" w14:textId="77777777" w:rsidR="001615B2" w:rsidRPr="00B62E15" w:rsidRDefault="001615B2" w:rsidP="001615B2">
      <w:pPr>
        <w:rPr>
          <w:sz w:val="24"/>
          <w:szCs w:val="24"/>
        </w:rPr>
      </w:pPr>
      <w:r w:rsidRPr="00B62E15">
        <w:rPr>
          <w:sz w:val="24"/>
          <w:szCs w:val="24"/>
        </w:rPr>
        <w:t xml:space="preserve">Roma, </w:t>
      </w:r>
    </w:p>
    <w:p w14:paraId="17F163B6" w14:textId="77777777" w:rsidR="001615B2" w:rsidRPr="00B62E15" w:rsidRDefault="001615B2" w:rsidP="001615B2">
      <w:pPr>
        <w:rPr>
          <w:sz w:val="24"/>
          <w:szCs w:val="24"/>
        </w:rPr>
      </w:pPr>
    </w:p>
    <w:p w14:paraId="228AFF6E" w14:textId="51954B3E" w:rsidR="001615B2" w:rsidRPr="00B62E15" w:rsidRDefault="001615B2" w:rsidP="001615B2">
      <w:pPr>
        <w:jc w:val="center"/>
        <w:rPr>
          <w:sz w:val="24"/>
          <w:szCs w:val="24"/>
        </w:rPr>
      </w:pPr>
      <w:r w:rsidRPr="00B62E15">
        <w:rPr>
          <w:sz w:val="24"/>
          <w:szCs w:val="24"/>
        </w:rPr>
        <w:t xml:space="preserve">IL MINISTRO DELLE INFRASTRUTTURE E </w:t>
      </w:r>
      <w:r w:rsidR="00E14345" w:rsidRPr="00B62E15">
        <w:rPr>
          <w:sz w:val="24"/>
          <w:szCs w:val="24"/>
        </w:rPr>
        <w:t>DE</w:t>
      </w:r>
      <w:r w:rsidR="00E14345">
        <w:rPr>
          <w:sz w:val="24"/>
          <w:szCs w:val="24"/>
        </w:rPr>
        <w:t>I TRASPORTI</w:t>
      </w:r>
    </w:p>
    <w:p w14:paraId="4975EF49" w14:textId="2B05ABA8" w:rsidR="001615B2" w:rsidRDefault="001615B2" w:rsidP="001615B2">
      <w:pPr>
        <w:jc w:val="center"/>
        <w:rPr>
          <w:sz w:val="24"/>
          <w:szCs w:val="24"/>
        </w:rPr>
      </w:pPr>
    </w:p>
    <w:p w14:paraId="139718FC" w14:textId="26A643EE" w:rsidR="001615B2" w:rsidRDefault="001615B2" w:rsidP="001615B2">
      <w:pPr>
        <w:jc w:val="center"/>
        <w:rPr>
          <w:sz w:val="24"/>
          <w:szCs w:val="24"/>
        </w:rPr>
      </w:pPr>
    </w:p>
    <w:p w14:paraId="5388C6C5" w14:textId="77777777" w:rsidR="001615B2" w:rsidRPr="00B62E15" w:rsidRDefault="001615B2" w:rsidP="001615B2">
      <w:pPr>
        <w:jc w:val="center"/>
        <w:rPr>
          <w:sz w:val="24"/>
          <w:szCs w:val="24"/>
        </w:rPr>
      </w:pPr>
    </w:p>
    <w:p w14:paraId="4C699292" w14:textId="77777777" w:rsidR="001615B2" w:rsidRPr="00B62E15" w:rsidRDefault="001615B2" w:rsidP="001615B2">
      <w:pPr>
        <w:jc w:val="center"/>
        <w:rPr>
          <w:sz w:val="24"/>
          <w:szCs w:val="24"/>
        </w:rPr>
      </w:pPr>
    </w:p>
    <w:p w14:paraId="0928B6B8" w14:textId="77777777" w:rsidR="001615B2" w:rsidRPr="00B62E15" w:rsidRDefault="001615B2" w:rsidP="001615B2">
      <w:pPr>
        <w:jc w:val="center"/>
        <w:rPr>
          <w:sz w:val="24"/>
          <w:szCs w:val="24"/>
        </w:rPr>
      </w:pPr>
    </w:p>
    <w:p w14:paraId="7F141132" w14:textId="77777777" w:rsidR="001615B2" w:rsidRPr="00B62E15" w:rsidRDefault="001615B2" w:rsidP="001615B2">
      <w:pPr>
        <w:jc w:val="center"/>
        <w:rPr>
          <w:sz w:val="24"/>
          <w:szCs w:val="24"/>
        </w:rPr>
      </w:pPr>
    </w:p>
    <w:p w14:paraId="3FE4A5AC" w14:textId="77777777" w:rsidR="001615B2" w:rsidRPr="00B62E15" w:rsidRDefault="001615B2" w:rsidP="001615B2">
      <w:pPr>
        <w:jc w:val="center"/>
        <w:rPr>
          <w:sz w:val="24"/>
          <w:szCs w:val="24"/>
        </w:rPr>
      </w:pPr>
    </w:p>
    <w:p w14:paraId="42CAF1F7" w14:textId="557C5E01" w:rsidR="001615B2" w:rsidRPr="004B4E8A" w:rsidRDefault="001615B2" w:rsidP="00EF6DD3">
      <w:pPr>
        <w:jc w:val="center"/>
        <w:rPr>
          <w:sz w:val="24"/>
          <w:szCs w:val="24"/>
        </w:rPr>
      </w:pPr>
      <w:r w:rsidRPr="00B62E15">
        <w:rPr>
          <w:sz w:val="24"/>
          <w:szCs w:val="24"/>
        </w:rPr>
        <w:t>IL MINISTRO DELL’ECONOMIA E DELLE FINANZE</w:t>
      </w:r>
    </w:p>
    <w:sectPr w:rsidR="001615B2" w:rsidRPr="004B4E8A" w:rsidSect="005F4BAD">
      <w:headerReference w:type="default" r:id="rId11"/>
      <w:pgSz w:w="11906" w:h="16838"/>
      <w:pgMar w:top="851" w:right="99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03BDF" w14:textId="77777777" w:rsidR="00285E71" w:rsidRDefault="00285E71">
      <w:r>
        <w:separator/>
      </w:r>
    </w:p>
  </w:endnote>
  <w:endnote w:type="continuationSeparator" w:id="0">
    <w:p w14:paraId="49972280" w14:textId="77777777" w:rsidR="00285E71" w:rsidRDefault="00285E71">
      <w:r>
        <w:continuationSeparator/>
      </w:r>
    </w:p>
  </w:endnote>
  <w:endnote w:type="continuationNotice" w:id="1">
    <w:p w14:paraId="7242E32B" w14:textId="77777777" w:rsidR="00285E71" w:rsidRDefault="00285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15339" w14:textId="77777777" w:rsidR="00285E71" w:rsidRDefault="00285E71">
      <w:r>
        <w:separator/>
      </w:r>
    </w:p>
  </w:footnote>
  <w:footnote w:type="continuationSeparator" w:id="0">
    <w:p w14:paraId="2BB7B02C" w14:textId="77777777" w:rsidR="00285E71" w:rsidRDefault="00285E71">
      <w:r>
        <w:continuationSeparator/>
      </w:r>
    </w:p>
  </w:footnote>
  <w:footnote w:type="continuationNotice" w:id="1">
    <w:p w14:paraId="125A0247" w14:textId="77777777" w:rsidR="00285E71" w:rsidRDefault="00285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65805" w14:textId="77777777" w:rsidR="00E32EBF" w:rsidRPr="0073158E" w:rsidRDefault="0011268D" w:rsidP="00E32EBF">
    <w:pPr>
      <w:tabs>
        <w:tab w:val="right" w:pos="9638"/>
      </w:tabs>
      <w:rPr>
        <w:rFonts w:ascii="Palace Script MT" w:hAnsi="Palace Script MT"/>
        <w:sz w:val="40"/>
        <w:szCs w:val="40"/>
      </w:rPr>
    </w:pPr>
    <w:r>
      <w:rPr>
        <w:noProof/>
      </w:rPr>
      <w:drawing>
        <wp:anchor distT="0" distB="0" distL="114300" distR="114300" simplePos="0" relativeHeight="251658240" behindDoc="1" locked="0" layoutInCell="1" allowOverlap="1" wp14:anchorId="5E6BCF92" wp14:editId="6906F6B8">
          <wp:simplePos x="0" y="0"/>
          <wp:positionH relativeFrom="column">
            <wp:posOffset>2619375</wp:posOffset>
          </wp:positionH>
          <wp:positionV relativeFrom="paragraph">
            <wp:posOffset>-205105</wp:posOffset>
          </wp:positionV>
          <wp:extent cx="721995" cy="598805"/>
          <wp:effectExtent l="0" t="0" r="0" b="0"/>
          <wp:wrapThrough wrapText="bothSides">
            <wp:wrapPolygon edited="0">
              <wp:start x="0" y="0"/>
              <wp:lineTo x="0" y="20615"/>
              <wp:lineTo x="21087" y="20615"/>
              <wp:lineTo x="21087" y="0"/>
              <wp:lineTo x="0" y="0"/>
            </wp:wrapPolygon>
          </wp:wrapThrough>
          <wp:docPr id="1" name="Immagine 1" descr="http://www.soprintendenza.venezia.beniculturali.it/soprive/sorci-verdi/LOGO.jpg/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www.soprintendenza.venezia.beniculturali.it/soprive/sorci-verdi/LOGO.jpg/image_pre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598805"/>
                  </a:xfrm>
                  <a:prstGeom prst="rect">
                    <a:avLst/>
                  </a:prstGeom>
                  <a:noFill/>
                  <a:ln>
                    <a:noFill/>
                  </a:ln>
                </pic:spPr>
              </pic:pic>
            </a:graphicData>
          </a:graphic>
        </wp:anchor>
      </w:drawing>
    </w:r>
  </w:p>
  <w:p w14:paraId="35FB904F" w14:textId="77777777" w:rsidR="00E32EBF" w:rsidRDefault="00E32EBF" w:rsidP="00E32EBF">
    <w:pPr>
      <w:pStyle w:val="Intestazione"/>
      <w:jc w:val="center"/>
      <w:rPr>
        <w:rFonts w:ascii="Palace Script MT" w:hAnsi="Palace Script MT"/>
        <w:sz w:val="40"/>
        <w:szCs w:val="40"/>
      </w:rPr>
    </w:pPr>
  </w:p>
  <w:p w14:paraId="0EDBEE09" w14:textId="48518EA0" w:rsidR="00E32EBF" w:rsidRPr="003A0DF5" w:rsidRDefault="00E32EBF" w:rsidP="00DA3EAF">
    <w:pPr>
      <w:pStyle w:val="Intestazione"/>
      <w:jc w:val="center"/>
      <w:rPr>
        <w:rFonts w:ascii="Palace Script MT" w:hAnsi="Palace Script MT"/>
        <w:sz w:val="56"/>
        <w:szCs w:val="56"/>
      </w:rPr>
    </w:pPr>
    <w:r w:rsidRPr="003A0DF5">
      <w:rPr>
        <w:rFonts w:ascii="Palace Script MT" w:hAnsi="Palace Script MT"/>
        <w:sz w:val="56"/>
        <w:szCs w:val="56"/>
      </w:rPr>
      <w:t xml:space="preserve">Il </w:t>
    </w:r>
    <w:r w:rsidR="003B157B">
      <w:rPr>
        <w:rFonts w:ascii="Palace Script MT" w:hAnsi="Palace Script MT"/>
        <w:sz w:val="56"/>
        <w:szCs w:val="56"/>
      </w:rPr>
      <w:t>M</w:t>
    </w:r>
    <w:r w:rsidRPr="003A0DF5">
      <w:rPr>
        <w:rFonts w:ascii="Palace Script MT" w:hAnsi="Palace Script MT"/>
        <w:sz w:val="56"/>
        <w:szCs w:val="56"/>
      </w:rPr>
      <w:t xml:space="preserve">inistro delle Infrastrutture </w:t>
    </w:r>
    <w:r w:rsidR="00D54BD6" w:rsidRPr="003A0DF5">
      <w:rPr>
        <w:rFonts w:ascii="Palace Script MT" w:hAnsi="Palace Script MT"/>
        <w:sz w:val="56"/>
        <w:szCs w:val="56"/>
      </w:rPr>
      <w:t>e de</w:t>
    </w:r>
    <w:r w:rsidR="00E14345">
      <w:rPr>
        <w:rFonts w:ascii="Palace Script MT" w:hAnsi="Palace Script MT"/>
        <w:sz w:val="56"/>
        <w:szCs w:val="56"/>
      </w:rPr>
      <w:t>i Trasporti</w:t>
    </w:r>
  </w:p>
  <w:p w14:paraId="26477FC0" w14:textId="77777777" w:rsidR="00E32EBF" w:rsidRPr="003A0DF5" w:rsidRDefault="00E32EBF" w:rsidP="00DA3EAF">
    <w:pPr>
      <w:pStyle w:val="Intestazione"/>
      <w:jc w:val="center"/>
      <w:rPr>
        <w:rFonts w:ascii="Palace Script MT" w:hAnsi="Palace Script MT"/>
        <w:sz w:val="56"/>
        <w:szCs w:val="56"/>
      </w:rPr>
    </w:pPr>
    <w:r w:rsidRPr="003A0DF5">
      <w:rPr>
        <w:rFonts w:ascii="Palace Script MT" w:hAnsi="Palace Script MT"/>
        <w:sz w:val="56"/>
        <w:szCs w:val="56"/>
      </w:rPr>
      <w:t xml:space="preserve">di concerto con </w:t>
    </w:r>
  </w:p>
  <w:p w14:paraId="1FFCB03C" w14:textId="77777777" w:rsidR="00E32EBF" w:rsidRPr="003A0DF5" w:rsidRDefault="00E32EBF" w:rsidP="00DA3EAF">
    <w:pPr>
      <w:pStyle w:val="Intestazione"/>
      <w:jc w:val="center"/>
      <w:rPr>
        <w:rFonts w:ascii="Palace Script MT" w:hAnsi="Palace Script MT"/>
        <w:sz w:val="56"/>
        <w:szCs w:val="56"/>
      </w:rPr>
    </w:pPr>
    <w:r w:rsidRPr="003A0DF5">
      <w:rPr>
        <w:rFonts w:ascii="Palace Script MT" w:hAnsi="Palace Script MT"/>
        <w:sz w:val="56"/>
        <w:szCs w:val="56"/>
      </w:rPr>
      <w:t xml:space="preserve">il Ministro dell’Economia e delle Finanze </w:t>
    </w:r>
  </w:p>
  <w:p w14:paraId="3C01AC36" w14:textId="77777777" w:rsidR="00990924" w:rsidRPr="00E32EBF" w:rsidRDefault="00990924" w:rsidP="00E32EBF">
    <w:pPr>
      <w:pStyle w:val="Intestazione"/>
      <w:jc w:val="center"/>
      <w:rPr>
        <w:rFonts w:ascii="Palace Script MT" w:hAnsi="Palace Script MT"/>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0A19"/>
    <w:multiLevelType w:val="singleLevel"/>
    <w:tmpl w:val="04100017"/>
    <w:lvl w:ilvl="0">
      <w:start w:val="1"/>
      <w:numFmt w:val="lowerLetter"/>
      <w:lvlText w:val="%1)"/>
      <w:lvlJc w:val="left"/>
      <w:pPr>
        <w:tabs>
          <w:tab w:val="num" w:pos="633"/>
        </w:tabs>
        <w:ind w:left="633" w:hanging="360"/>
      </w:pPr>
      <w:rPr>
        <w:rFonts w:hint="default"/>
      </w:rPr>
    </w:lvl>
  </w:abstractNum>
  <w:abstractNum w:abstractNumId="1" w15:restartNumberingAfterBreak="0">
    <w:nsid w:val="08984F74"/>
    <w:multiLevelType w:val="hybridMultilevel"/>
    <w:tmpl w:val="20AA64BA"/>
    <w:lvl w:ilvl="0" w:tplc="C35C29E4">
      <w:start w:val="1"/>
      <w:numFmt w:val="lowerLetter"/>
      <w:lvlText w:val="%1)"/>
      <w:lvlJc w:val="left"/>
      <w:pPr>
        <w:ind w:left="1083" w:hanging="360"/>
      </w:pPr>
      <w:rPr>
        <w:rFonts w:ascii="Arial" w:eastAsia="Times New Roman" w:hAnsi="Arial" w:cs="Arial"/>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2" w15:restartNumberingAfterBreak="0">
    <w:nsid w:val="091E706F"/>
    <w:multiLevelType w:val="hybridMultilevel"/>
    <w:tmpl w:val="4928DC16"/>
    <w:lvl w:ilvl="0" w:tplc="108AC318">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15:restartNumberingAfterBreak="0">
    <w:nsid w:val="11383577"/>
    <w:multiLevelType w:val="singleLevel"/>
    <w:tmpl w:val="B8CE32E0"/>
    <w:lvl w:ilvl="0">
      <w:start w:val="1"/>
      <w:numFmt w:val="decimal"/>
      <w:lvlText w:val="%1."/>
      <w:lvlJc w:val="left"/>
      <w:pPr>
        <w:tabs>
          <w:tab w:val="num" w:pos="705"/>
        </w:tabs>
        <w:ind w:left="705" w:hanging="705"/>
      </w:pPr>
      <w:rPr>
        <w:rFonts w:hint="default"/>
      </w:rPr>
    </w:lvl>
  </w:abstractNum>
  <w:abstractNum w:abstractNumId="4" w15:restartNumberingAfterBreak="0">
    <w:nsid w:val="12E47974"/>
    <w:multiLevelType w:val="hybridMultilevel"/>
    <w:tmpl w:val="EE2001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866CA3"/>
    <w:multiLevelType w:val="hybridMultilevel"/>
    <w:tmpl w:val="81DEC5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6031DA"/>
    <w:multiLevelType w:val="hybridMultilevel"/>
    <w:tmpl w:val="45E6D84C"/>
    <w:lvl w:ilvl="0" w:tplc="3014CA66">
      <w:start w:val="2"/>
      <w:numFmt w:val="decimal"/>
      <w:lvlText w:val="%1."/>
      <w:lvlJc w:val="left"/>
      <w:pPr>
        <w:tabs>
          <w:tab w:val="num" w:pos="1065"/>
        </w:tabs>
        <w:ind w:left="1065" w:hanging="705"/>
      </w:pPr>
      <w:rPr>
        <w:rFonts w:hint="default"/>
      </w:rPr>
    </w:lvl>
    <w:lvl w:ilvl="1" w:tplc="9E8A8BB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B8613AD"/>
    <w:multiLevelType w:val="hybridMultilevel"/>
    <w:tmpl w:val="C122B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EC20AF"/>
    <w:multiLevelType w:val="hybridMultilevel"/>
    <w:tmpl w:val="3320C83E"/>
    <w:lvl w:ilvl="0" w:tplc="09D6CD0E">
      <w:start w:val="1"/>
      <w:numFmt w:val="upperRoman"/>
      <w:lvlText w:val="%1."/>
      <w:lvlJc w:val="righ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9" w15:restartNumberingAfterBreak="0">
    <w:nsid w:val="256B382B"/>
    <w:multiLevelType w:val="hybridMultilevel"/>
    <w:tmpl w:val="2ED644BA"/>
    <w:lvl w:ilvl="0" w:tplc="04100013">
      <w:start w:val="1"/>
      <w:numFmt w:val="upperRoman"/>
      <w:lvlText w:val="%1."/>
      <w:lvlJc w:val="righ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0" w15:restartNumberingAfterBreak="0">
    <w:nsid w:val="3E2438B3"/>
    <w:multiLevelType w:val="hybridMultilevel"/>
    <w:tmpl w:val="DA36DC36"/>
    <w:lvl w:ilvl="0" w:tplc="2E26E27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3F4D2463"/>
    <w:multiLevelType w:val="hybridMultilevel"/>
    <w:tmpl w:val="87CC45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D0147E"/>
    <w:multiLevelType w:val="hybridMultilevel"/>
    <w:tmpl w:val="4D2C1202"/>
    <w:lvl w:ilvl="0" w:tplc="215E990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44E259F8"/>
    <w:multiLevelType w:val="hybridMultilevel"/>
    <w:tmpl w:val="06006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A106F"/>
    <w:multiLevelType w:val="singleLevel"/>
    <w:tmpl w:val="272AD160"/>
    <w:lvl w:ilvl="0">
      <w:start w:val="3"/>
      <w:numFmt w:val="decimal"/>
      <w:lvlText w:val="%1."/>
      <w:lvlJc w:val="left"/>
      <w:pPr>
        <w:tabs>
          <w:tab w:val="num" w:pos="705"/>
        </w:tabs>
        <w:ind w:left="705" w:hanging="705"/>
      </w:pPr>
      <w:rPr>
        <w:rFonts w:hint="default"/>
      </w:rPr>
    </w:lvl>
  </w:abstractNum>
  <w:abstractNum w:abstractNumId="15" w15:restartNumberingAfterBreak="0">
    <w:nsid w:val="45FA48A5"/>
    <w:multiLevelType w:val="hybridMultilevel"/>
    <w:tmpl w:val="06006F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9D5552"/>
    <w:multiLevelType w:val="hybridMultilevel"/>
    <w:tmpl w:val="92DEEA2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38D1836"/>
    <w:multiLevelType w:val="hybridMultilevel"/>
    <w:tmpl w:val="89C851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591B25"/>
    <w:multiLevelType w:val="singleLevel"/>
    <w:tmpl w:val="1BBC7042"/>
    <w:lvl w:ilvl="0">
      <w:start w:val="1"/>
      <w:numFmt w:val="decimal"/>
      <w:lvlText w:val="%1."/>
      <w:lvlJc w:val="left"/>
      <w:pPr>
        <w:tabs>
          <w:tab w:val="num" w:pos="705"/>
        </w:tabs>
        <w:ind w:left="705" w:hanging="705"/>
      </w:pPr>
      <w:rPr>
        <w:rFonts w:hint="default"/>
      </w:rPr>
    </w:lvl>
  </w:abstractNum>
  <w:abstractNum w:abstractNumId="19" w15:restartNumberingAfterBreak="0">
    <w:nsid w:val="583C31D7"/>
    <w:multiLevelType w:val="hybridMultilevel"/>
    <w:tmpl w:val="9E28DD64"/>
    <w:lvl w:ilvl="0" w:tplc="1948441E">
      <w:start w:val="1"/>
      <w:numFmt w:val="upperRoman"/>
      <w:lvlText w:val="%1."/>
      <w:lvlJc w:val="right"/>
      <w:pPr>
        <w:ind w:left="142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6025C1"/>
    <w:multiLevelType w:val="hybridMultilevel"/>
    <w:tmpl w:val="4282F1E4"/>
    <w:lvl w:ilvl="0" w:tplc="413AA920">
      <w:start w:val="3"/>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F477942"/>
    <w:multiLevelType w:val="hybridMultilevel"/>
    <w:tmpl w:val="C47EC0A6"/>
    <w:lvl w:ilvl="0" w:tplc="8ADA2F4C">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06B22CA"/>
    <w:multiLevelType w:val="hybridMultilevel"/>
    <w:tmpl w:val="EB328896"/>
    <w:lvl w:ilvl="0" w:tplc="5FFE2356">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7D360A4"/>
    <w:multiLevelType w:val="hybridMultilevel"/>
    <w:tmpl w:val="9E7CA6C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0238A5"/>
    <w:multiLevelType w:val="hybridMultilevel"/>
    <w:tmpl w:val="65A6E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E75070"/>
    <w:multiLevelType w:val="hybridMultilevel"/>
    <w:tmpl w:val="CD2E0F0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C9E40EF"/>
    <w:multiLevelType w:val="hybridMultilevel"/>
    <w:tmpl w:val="81DEC5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791CD4"/>
    <w:multiLevelType w:val="hybridMultilevel"/>
    <w:tmpl w:val="0B646BCE"/>
    <w:lvl w:ilvl="0" w:tplc="007276FC">
      <w:start w:val="2"/>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000028D"/>
    <w:multiLevelType w:val="singleLevel"/>
    <w:tmpl w:val="0410000F"/>
    <w:lvl w:ilvl="0">
      <w:start w:val="3"/>
      <w:numFmt w:val="decimal"/>
      <w:lvlText w:val="%1."/>
      <w:lvlJc w:val="left"/>
      <w:pPr>
        <w:tabs>
          <w:tab w:val="num" w:pos="360"/>
        </w:tabs>
        <w:ind w:left="360" w:hanging="360"/>
      </w:pPr>
      <w:rPr>
        <w:rFonts w:hint="default"/>
      </w:rPr>
    </w:lvl>
  </w:abstractNum>
  <w:abstractNum w:abstractNumId="29" w15:restartNumberingAfterBreak="0">
    <w:nsid w:val="70274A71"/>
    <w:multiLevelType w:val="hybridMultilevel"/>
    <w:tmpl w:val="B49AFF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3D3484"/>
    <w:multiLevelType w:val="singleLevel"/>
    <w:tmpl w:val="CE02B41A"/>
    <w:lvl w:ilvl="0">
      <w:start w:val="1"/>
      <w:numFmt w:val="lowerLetter"/>
      <w:lvlText w:val="%1)"/>
      <w:lvlJc w:val="left"/>
      <w:pPr>
        <w:tabs>
          <w:tab w:val="num" w:pos="1065"/>
        </w:tabs>
        <w:ind w:left="1065" w:hanging="360"/>
      </w:pPr>
      <w:rPr>
        <w:rFonts w:hint="default"/>
      </w:rPr>
    </w:lvl>
  </w:abstractNum>
  <w:abstractNum w:abstractNumId="31" w15:restartNumberingAfterBreak="0">
    <w:nsid w:val="7B4E3C5D"/>
    <w:multiLevelType w:val="hybridMultilevel"/>
    <w:tmpl w:val="0D1EB822"/>
    <w:lvl w:ilvl="0" w:tplc="EF44B8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C854B3B"/>
    <w:multiLevelType w:val="hybridMultilevel"/>
    <w:tmpl w:val="8AFA32EA"/>
    <w:lvl w:ilvl="0" w:tplc="6DEC8698">
      <w:start w:val="1"/>
      <w:numFmt w:val="decimal"/>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FDA3405"/>
    <w:multiLevelType w:val="hybridMultilevel"/>
    <w:tmpl w:val="E1004D90"/>
    <w:lvl w:ilvl="0" w:tplc="B98E26D4">
      <w:start w:val="1"/>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311259066">
    <w:abstractNumId w:val="30"/>
  </w:num>
  <w:num w:numId="2" w16cid:durableId="1211695556">
    <w:abstractNumId w:val="14"/>
  </w:num>
  <w:num w:numId="3" w16cid:durableId="749236961">
    <w:abstractNumId w:val="28"/>
  </w:num>
  <w:num w:numId="4" w16cid:durableId="202249939">
    <w:abstractNumId w:val="18"/>
  </w:num>
  <w:num w:numId="5" w16cid:durableId="1230773266">
    <w:abstractNumId w:val="3"/>
  </w:num>
  <w:num w:numId="6" w16cid:durableId="1531793909">
    <w:abstractNumId w:val="0"/>
  </w:num>
  <w:num w:numId="7" w16cid:durableId="795222869">
    <w:abstractNumId w:val="6"/>
  </w:num>
  <w:num w:numId="8" w16cid:durableId="1103569298">
    <w:abstractNumId w:val="27"/>
  </w:num>
  <w:num w:numId="9" w16cid:durableId="967928398">
    <w:abstractNumId w:val="21"/>
  </w:num>
  <w:num w:numId="10" w16cid:durableId="754017428">
    <w:abstractNumId w:val="22"/>
  </w:num>
  <w:num w:numId="11" w16cid:durableId="1165246917">
    <w:abstractNumId w:val="33"/>
  </w:num>
  <w:num w:numId="12" w16cid:durableId="1103919601">
    <w:abstractNumId w:val="9"/>
  </w:num>
  <w:num w:numId="13" w16cid:durableId="1759254324">
    <w:abstractNumId w:val="2"/>
  </w:num>
  <w:num w:numId="14" w16cid:durableId="1807312054">
    <w:abstractNumId w:val="8"/>
  </w:num>
  <w:num w:numId="15" w16cid:durableId="537006551">
    <w:abstractNumId w:val="32"/>
  </w:num>
  <w:num w:numId="16" w16cid:durableId="620307388">
    <w:abstractNumId w:val="20"/>
  </w:num>
  <w:num w:numId="17" w16cid:durableId="862548956">
    <w:abstractNumId w:val="19"/>
  </w:num>
  <w:num w:numId="18" w16cid:durableId="964968051">
    <w:abstractNumId w:val="16"/>
  </w:num>
  <w:num w:numId="19" w16cid:durableId="961501123">
    <w:abstractNumId w:val="23"/>
  </w:num>
  <w:num w:numId="20" w16cid:durableId="1185636275">
    <w:abstractNumId w:val="1"/>
  </w:num>
  <w:num w:numId="21" w16cid:durableId="957832226">
    <w:abstractNumId w:val="31"/>
  </w:num>
  <w:num w:numId="22" w16cid:durableId="1622880713">
    <w:abstractNumId w:val="17"/>
  </w:num>
  <w:num w:numId="23" w16cid:durableId="521019966">
    <w:abstractNumId w:val="11"/>
  </w:num>
  <w:num w:numId="24" w16cid:durableId="1691443574">
    <w:abstractNumId w:val="29"/>
  </w:num>
  <w:num w:numId="25" w16cid:durableId="1418404083">
    <w:abstractNumId w:val="7"/>
  </w:num>
  <w:num w:numId="26" w16cid:durableId="341395048">
    <w:abstractNumId w:val="12"/>
  </w:num>
  <w:num w:numId="27" w16cid:durableId="453984953">
    <w:abstractNumId w:val="25"/>
  </w:num>
  <w:num w:numId="28" w16cid:durableId="662438585">
    <w:abstractNumId w:val="24"/>
  </w:num>
  <w:num w:numId="29" w16cid:durableId="817575929">
    <w:abstractNumId w:val="10"/>
  </w:num>
  <w:num w:numId="30" w16cid:durableId="2108117018">
    <w:abstractNumId w:val="5"/>
  </w:num>
  <w:num w:numId="31" w16cid:durableId="1205482610">
    <w:abstractNumId w:val="26"/>
  </w:num>
  <w:num w:numId="32" w16cid:durableId="1086417346">
    <w:abstractNumId w:val="15"/>
  </w:num>
  <w:num w:numId="33" w16cid:durableId="959261457">
    <w:abstractNumId w:val="13"/>
  </w:num>
  <w:num w:numId="34" w16cid:durableId="1291863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0A"/>
    <w:rsid w:val="000059B6"/>
    <w:rsid w:val="00020890"/>
    <w:rsid w:val="00020F17"/>
    <w:rsid w:val="00021243"/>
    <w:rsid w:val="00022424"/>
    <w:rsid w:val="000239AA"/>
    <w:rsid w:val="00024247"/>
    <w:rsid w:val="000262BE"/>
    <w:rsid w:val="000267CF"/>
    <w:rsid w:val="00030216"/>
    <w:rsid w:val="000318E7"/>
    <w:rsid w:val="00037339"/>
    <w:rsid w:val="0003735A"/>
    <w:rsid w:val="00042130"/>
    <w:rsid w:val="000442F1"/>
    <w:rsid w:val="00046D06"/>
    <w:rsid w:val="00050974"/>
    <w:rsid w:val="000526DF"/>
    <w:rsid w:val="0005425B"/>
    <w:rsid w:val="000631FB"/>
    <w:rsid w:val="0006755D"/>
    <w:rsid w:val="000721D2"/>
    <w:rsid w:val="000742EA"/>
    <w:rsid w:val="00077D02"/>
    <w:rsid w:val="00081146"/>
    <w:rsid w:val="00082048"/>
    <w:rsid w:val="00084CC7"/>
    <w:rsid w:val="000877A1"/>
    <w:rsid w:val="000966F4"/>
    <w:rsid w:val="000A7386"/>
    <w:rsid w:val="000B0668"/>
    <w:rsid w:val="000B39AD"/>
    <w:rsid w:val="000B617F"/>
    <w:rsid w:val="000B7897"/>
    <w:rsid w:val="000C257F"/>
    <w:rsid w:val="000C321D"/>
    <w:rsid w:val="000D27A0"/>
    <w:rsid w:val="000D7372"/>
    <w:rsid w:val="000E49E7"/>
    <w:rsid w:val="000E6F21"/>
    <w:rsid w:val="000E6F63"/>
    <w:rsid w:val="000F1408"/>
    <w:rsid w:val="000F5C29"/>
    <w:rsid w:val="000F75CC"/>
    <w:rsid w:val="00101949"/>
    <w:rsid w:val="00102D6F"/>
    <w:rsid w:val="00103B9B"/>
    <w:rsid w:val="00110EB3"/>
    <w:rsid w:val="0011268D"/>
    <w:rsid w:val="00113660"/>
    <w:rsid w:val="001231FB"/>
    <w:rsid w:val="00137A13"/>
    <w:rsid w:val="00140B3E"/>
    <w:rsid w:val="00146598"/>
    <w:rsid w:val="00150285"/>
    <w:rsid w:val="001517AC"/>
    <w:rsid w:val="001524C6"/>
    <w:rsid w:val="00155245"/>
    <w:rsid w:val="001563CB"/>
    <w:rsid w:val="0015686C"/>
    <w:rsid w:val="001615B2"/>
    <w:rsid w:val="00162D99"/>
    <w:rsid w:val="0016323D"/>
    <w:rsid w:val="00164918"/>
    <w:rsid w:val="00164FA7"/>
    <w:rsid w:val="0016575D"/>
    <w:rsid w:val="0017071F"/>
    <w:rsid w:val="0018126E"/>
    <w:rsid w:val="00186A1A"/>
    <w:rsid w:val="001910F5"/>
    <w:rsid w:val="00193952"/>
    <w:rsid w:val="00193F70"/>
    <w:rsid w:val="00197392"/>
    <w:rsid w:val="001A004A"/>
    <w:rsid w:val="001A07AF"/>
    <w:rsid w:val="001A476F"/>
    <w:rsid w:val="001A4A2D"/>
    <w:rsid w:val="001A566C"/>
    <w:rsid w:val="001B1519"/>
    <w:rsid w:val="001B6642"/>
    <w:rsid w:val="001C38F7"/>
    <w:rsid w:val="001D1CCE"/>
    <w:rsid w:val="001D3416"/>
    <w:rsid w:val="001D3E6F"/>
    <w:rsid w:val="001E72D8"/>
    <w:rsid w:val="001E7A5D"/>
    <w:rsid w:val="001E7C64"/>
    <w:rsid w:val="001F0667"/>
    <w:rsid w:val="001F08E9"/>
    <w:rsid w:val="001F1A0F"/>
    <w:rsid w:val="001F273E"/>
    <w:rsid w:val="001F4AAE"/>
    <w:rsid w:val="001F54DB"/>
    <w:rsid w:val="001F7995"/>
    <w:rsid w:val="00200BF5"/>
    <w:rsid w:val="00201143"/>
    <w:rsid w:val="0020356D"/>
    <w:rsid w:val="00205FBC"/>
    <w:rsid w:val="0021176B"/>
    <w:rsid w:val="00212DF0"/>
    <w:rsid w:val="00221D33"/>
    <w:rsid w:val="00224ADE"/>
    <w:rsid w:val="002316AB"/>
    <w:rsid w:val="002339F1"/>
    <w:rsid w:val="0023419C"/>
    <w:rsid w:val="002351A9"/>
    <w:rsid w:val="00237657"/>
    <w:rsid w:val="00237C34"/>
    <w:rsid w:val="002422A0"/>
    <w:rsid w:val="00242F75"/>
    <w:rsid w:val="0024615C"/>
    <w:rsid w:val="00246F16"/>
    <w:rsid w:val="00257D63"/>
    <w:rsid w:val="00275039"/>
    <w:rsid w:val="0027630B"/>
    <w:rsid w:val="00277919"/>
    <w:rsid w:val="00285E71"/>
    <w:rsid w:val="00290764"/>
    <w:rsid w:val="00295C30"/>
    <w:rsid w:val="00296016"/>
    <w:rsid w:val="002A0FB5"/>
    <w:rsid w:val="002A62C4"/>
    <w:rsid w:val="002A7173"/>
    <w:rsid w:val="002B14F1"/>
    <w:rsid w:val="002B54BF"/>
    <w:rsid w:val="002B650E"/>
    <w:rsid w:val="002C7376"/>
    <w:rsid w:val="002D1C8B"/>
    <w:rsid w:val="002D45CA"/>
    <w:rsid w:val="002E1F5D"/>
    <w:rsid w:val="002E28E7"/>
    <w:rsid w:val="002E566D"/>
    <w:rsid w:val="002E6E27"/>
    <w:rsid w:val="002F0917"/>
    <w:rsid w:val="002F47A3"/>
    <w:rsid w:val="002F6E2F"/>
    <w:rsid w:val="003052F7"/>
    <w:rsid w:val="00307224"/>
    <w:rsid w:val="00320810"/>
    <w:rsid w:val="003213B6"/>
    <w:rsid w:val="003225B9"/>
    <w:rsid w:val="00327196"/>
    <w:rsid w:val="00327FB3"/>
    <w:rsid w:val="00330665"/>
    <w:rsid w:val="00330C10"/>
    <w:rsid w:val="003337A5"/>
    <w:rsid w:val="00335E5A"/>
    <w:rsid w:val="00336F65"/>
    <w:rsid w:val="003435AD"/>
    <w:rsid w:val="00354517"/>
    <w:rsid w:val="00363144"/>
    <w:rsid w:val="00364BDB"/>
    <w:rsid w:val="0037077D"/>
    <w:rsid w:val="00370A30"/>
    <w:rsid w:val="00371EBF"/>
    <w:rsid w:val="0037535F"/>
    <w:rsid w:val="003806D0"/>
    <w:rsid w:val="003829E0"/>
    <w:rsid w:val="00383609"/>
    <w:rsid w:val="00384272"/>
    <w:rsid w:val="0038709E"/>
    <w:rsid w:val="003924FC"/>
    <w:rsid w:val="00397085"/>
    <w:rsid w:val="00397216"/>
    <w:rsid w:val="00397516"/>
    <w:rsid w:val="003A0DF5"/>
    <w:rsid w:val="003A3DB1"/>
    <w:rsid w:val="003B0A9C"/>
    <w:rsid w:val="003B157B"/>
    <w:rsid w:val="003C391A"/>
    <w:rsid w:val="003C4D40"/>
    <w:rsid w:val="003C5384"/>
    <w:rsid w:val="003C5C5B"/>
    <w:rsid w:val="003D35E0"/>
    <w:rsid w:val="003D6EF7"/>
    <w:rsid w:val="003D75B7"/>
    <w:rsid w:val="003E3E87"/>
    <w:rsid w:val="003E5C9A"/>
    <w:rsid w:val="003F02C9"/>
    <w:rsid w:val="003F0B21"/>
    <w:rsid w:val="003F3E55"/>
    <w:rsid w:val="003F3F2F"/>
    <w:rsid w:val="003F455A"/>
    <w:rsid w:val="003F6DE1"/>
    <w:rsid w:val="0040349D"/>
    <w:rsid w:val="0040763B"/>
    <w:rsid w:val="004119B4"/>
    <w:rsid w:val="004123C5"/>
    <w:rsid w:val="0042254A"/>
    <w:rsid w:val="00424450"/>
    <w:rsid w:val="00425DED"/>
    <w:rsid w:val="00433B1A"/>
    <w:rsid w:val="00440942"/>
    <w:rsid w:val="0044101D"/>
    <w:rsid w:val="00441FFB"/>
    <w:rsid w:val="00444E22"/>
    <w:rsid w:val="004545D5"/>
    <w:rsid w:val="00455F4B"/>
    <w:rsid w:val="0045765B"/>
    <w:rsid w:val="00460447"/>
    <w:rsid w:val="00462AEC"/>
    <w:rsid w:val="00464E76"/>
    <w:rsid w:val="00465720"/>
    <w:rsid w:val="004667E0"/>
    <w:rsid w:val="00466A80"/>
    <w:rsid w:val="004745DC"/>
    <w:rsid w:val="00474855"/>
    <w:rsid w:val="00475C44"/>
    <w:rsid w:val="0049205E"/>
    <w:rsid w:val="00495D48"/>
    <w:rsid w:val="004961DD"/>
    <w:rsid w:val="004A7622"/>
    <w:rsid w:val="004B0F39"/>
    <w:rsid w:val="004B28B7"/>
    <w:rsid w:val="004B4C45"/>
    <w:rsid w:val="004B4E8A"/>
    <w:rsid w:val="004B54AC"/>
    <w:rsid w:val="004B5EFB"/>
    <w:rsid w:val="004C737F"/>
    <w:rsid w:val="004D0FAC"/>
    <w:rsid w:val="004D66CE"/>
    <w:rsid w:val="004D7915"/>
    <w:rsid w:val="004E2329"/>
    <w:rsid w:val="004F1ACF"/>
    <w:rsid w:val="00502681"/>
    <w:rsid w:val="005070FF"/>
    <w:rsid w:val="00513B8B"/>
    <w:rsid w:val="0051699C"/>
    <w:rsid w:val="005322A6"/>
    <w:rsid w:val="005341BA"/>
    <w:rsid w:val="0053795E"/>
    <w:rsid w:val="005405AF"/>
    <w:rsid w:val="00542E0B"/>
    <w:rsid w:val="00543CB9"/>
    <w:rsid w:val="00551ECB"/>
    <w:rsid w:val="0055378D"/>
    <w:rsid w:val="005537F8"/>
    <w:rsid w:val="00554A0A"/>
    <w:rsid w:val="00556103"/>
    <w:rsid w:val="0056174B"/>
    <w:rsid w:val="005766EE"/>
    <w:rsid w:val="00585A19"/>
    <w:rsid w:val="00590B31"/>
    <w:rsid w:val="005918A5"/>
    <w:rsid w:val="00592508"/>
    <w:rsid w:val="00593CEE"/>
    <w:rsid w:val="00593EAD"/>
    <w:rsid w:val="00594824"/>
    <w:rsid w:val="00596268"/>
    <w:rsid w:val="005B3AC3"/>
    <w:rsid w:val="005B428A"/>
    <w:rsid w:val="005B584B"/>
    <w:rsid w:val="005C086E"/>
    <w:rsid w:val="005C25C5"/>
    <w:rsid w:val="005C306B"/>
    <w:rsid w:val="005D0DD1"/>
    <w:rsid w:val="005D51F0"/>
    <w:rsid w:val="005D67FE"/>
    <w:rsid w:val="005F24A8"/>
    <w:rsid w:val="005F4BAD"/>
    <w:rsid w:val="00601094"/>
    <w:rsid w:val="00602F96"/>
    <w:rsid w:val="00603D3D"/>
    <w:rsid w:val="00606151"/>
    <w:rsid w:val="00614E26"/>
    <w:rsid w:val="006160C6"/>
    <w:rsid w:val="00616FB7"/>
    <w:rsid w:val="00617A0B"/>
    <w:rsid w:val="0062070F"/>
    <w:rsid w:val="0063010B"/>
    <w:rsid w:val="0063282D"/>
    <w:rsid w:val="00635E76"/>
    <w:rsid w:val="00640077"/>
    <w:rsid w:val="00640505"/>
    <w:rsid w:val="00642CCF"/>
    <w:rsid w:val="00643B8E"/>
    <w:rsid w:val="0065354F"/>
    <w:rsid w:val="006546A2"/>
    <w:rsid w:val="00657B0A"/>
    <w:rsid w:val="00657E4D"/>
    <w:rsid w:val="0066250C"/>
    <w:rsid w:val="006725DB"/>
    <w:rsid w:val="00675D40"/>
    <w:rsid w:val="006921FE"/>
    <w:rsid w:val="006933CB"/>
    <w:rsid w:val="006A2212"/>
    <w:rsid w:val="006B4212"/>
    <w:rsid w:val="006C2FC1"/>
    <w:rsid w:val="006D025D"/>
    <w:rsid w:val="006D26A5"/>
    <w:rsid w:val="006E107D"/>
    <w:rsid w:val="006F14D7"/>
    <w:rsid w:val="00701F65"/>
    <w:rsid w:val="00704133"/>
    <w:rsid w:val="00715B94"/>
    <w:rsid w:val="00715C41"/>
    <w:rsid w:val="00717D10"/>
    <w:rsid w:val="0072125E"/>
    <w:rsid w:val="0072161C"/>
    <w:rsid w:val="0072193B"/>
    <w:rsid w:val="00721D9C"/>
    <w:rsid w:val="00722BDA"/>
    <w:rsid w:val="00725679"/>
    <w:rsid w:val="00725A16"/>
    <w:rsid w:val="00725E2D"/>
    <w:rsid w:val="007705B0"/>
    <w:rsid w:val="00771842"/>
    <w:rsid w:val="0078379F"/>
    <w:rsid w:val="0078386D"/>
    <w:rsid w:val="00785435"/>
    <w:rsid w:val="00793DA8"/>
    <w:rsid w:val="00794D18"/>
    <w:rsid w:val="007A270C"/>
    <w:rsid w:val="007A67D0"/>
    <w:rsid w:val="007B09D2"/>
    <w:rsid w:val="007B473D"/>
    <w:rsid w:val="007B79DB"/>
    <w:rsid w:val="007C27B6"/>
    <w:rsid w:val="007E7203"/>
    <w:rsid w:val="007F01E5"/>
    <w:rsid w:val="007F15F7"/>
    <w:rsid w:val="007F3E3A"/>
    <w:rsid w:val="007F4A85"/>
    <w:rsid w:val="007F5454"/>
    <w:rsid w:val="007F622C"/>
    <w:rsid w:val="007F6245"/>
    <w:rsid w:val="007F7F05"/>
    <w:rsid w:val="0080248C"/>
    <w:rsid w:val="0080724D"/>
    <w:rsid w:val="00812834"/>
    <w:rsid w:val="008167F1"/>
    <w:rsid w:val="00820FBA"/>
    <w:rsid w:val="00823689"/>
    <w:rsid w:val="00830E9C"/>
    <w:rsid w:val="00833884"/>
    <w:rsid w:val="008372F6"/>
    <w:rsid w:val="008421B0"/>
    <w:rsid w:val="0085252D"/>
    <w:rsid w:val="00853A00"/>
    <w:rsid w:val="00854EE4"/>
    <w:rsid w:val="0086336F"/>
    <w:rsid w:val="00864D27"/>
    <w:rsid w:val="00872872"/>
    <w:rsid w:val="0087299F"/>
    <w:rsid w:val="008777C7"/>
    <w:rsid w:val="00877939"/>
    <w:rsid w:val="00883927"/>
    <w:rsid w:val="0088750C"/>
    <w:rsid w:val="00887525"/>
    <w:rsid w:val="00891806"/>
    <w:rsid w:val="008924BA"/>
    <w:rsid w:val="008927FD"/>
    <w:rsid w:val="00892DF1"/>
    <w:rsid w:val="008A2EFD"/>
    <w:rsid w:val="008A4693"/>
    <w:rsid w:val="008A4918"/>
    <w:rsid w:val="008B0241"/>
    <w:rsid w:val="008B06A5"/>
    <w:rsid w:val="008B6E95"/>
    <w:rsid w:val="008C0424"/>
    <w:rsid w:val="008C134A"/>
    <w:rsid w:val="008C27BE"/>
    <w:rsid w:val="008D5F3B"/>
    <w:rsid w:val="008E0E7A"/>
    <w:rsid w:val="008E37E3"/>
    <w:rsid w:val="008F41EC"/>
    <w:rsid w:val="008F7F4A"/>
    <w:rsid w:val="0090017D"/>
    <w:rsid w:val="00900936"/>
    <w:rsid w:val="00900F2F"/>
    <w:rsid w:val="009056B5"/>
    <w:rsid w:val="00906FFE"/>
    <w:rsid w:val="0091154B"/>
    <w:rsid w:val="0091292A"/>
    <w:rsid w:val="009155A4"/>
    <w:rsid w:val="00920F50"/>
    <w:rsid w:val="00921EFD"/>
    <w:rsid w:val="0093290A"/>
    <w:rsid w:val="0093523C"/>
    <w:rsid w:val="00935968"/>
    <w:rsid w:val="00944A04"/>
    <w:rsid w:val="009462AD"/>
    <w:rsid w:val="00947D40"/>
    <w:rsid w:val="00953185"/>
    <w:rsid w:val="00954F15"/>
    <w:rsid w:val="009706B2"/>
    <w:rsid w:val="0097132B"/>
    <w:rsid w:val="00971B83"/>
    <w:rsid w:val="00972180"/>
    <w:rsid w:val="009733AD"/>
    <w:rsid w:val="009745C7"/>
    <w:rsid w:val="009750AB"/>
    <w:rsid w:val="00981342"/>
    <w:rsid w:val="009868C8"/>
    <w:rsid w:val="00986D53"/>
    <w:rsid w:val="00990924"/>
    <w:rsid w:val="009909DD"/>
    <w:rsid w:val="009932CB"/>
    <w:rsid w:val="00995574"/>
    <w:rsid w:val="00995E5A"/>
    <w:rsid w:val="00996D11"/>
    <w:rsid w:val="00996E44"/>
    <w:rsid w:val="009973BF"/>
    <w:rsid w:val="009A3D25"/>
    <w:rsid w:val="009A7608"/>
    <w:rsid w:val="009B16E7"/>
    <w:rsid w:val="009B79C5"/>
    <w:rsid w:val="009C0DCD"/>
    <w:rsid w:val="009C180B"/>
    <w:rsid w:val="009C1E60"/>
    <w:rsid w:val="009C4D5D"/>
    <w:rsid w:val="009C6457"/>
    <w:rsid w:val="009D1E65"/>
    <w:rsid w:val="009D3BF6"/>
    <w:rsid w:val="009D5565"/>
    <w:rsid w:val="009E3F4B"/>
    <w:rsid w:val="009E6E4D"/>
    <w:rsid w:val="009F2002"/>
    <w:rsid w:val="00A04033"/>
    <w:rsid w:val="00A05A17"/>
    <w:rsid w:val="00A2593F"/>
    <w:rsid w:val="00A26CFA"/>
    <w:rsid w:val="00A32B78"/>
    <w:rsid w:val="00A33D89"/>
    <w:rsid w:val="00A34ECF"/>
    <w:rsid w:val="00A5071F"/>
    <w:rsid w:val="00A54D79"/>
    <w:rsid w:val="00A5678D"/>
    <w:rsid w:val="00A61B34"/>
    <w:rsid w:val="00A64DE1"/>
    <w:rsid w:val="00A6597C"/>
    <w:rsid w:val="00A672F2"/>
    <w:rsid w:val="00A7031B"/>
    <w:rsid w:val="00A713E1"/>
    <w:rsid w:val="00A71FCC"/>
    <w:rsid w:val="00A73FE7"/>
    <w:rsid w:val="00A74C4F"/>
    <w:rsid w:val="00A83E6B"/>
    <w:rsid w:val="00A84E42"/>
    <w:rsid w:val="00A86588"/>
    <w:rsid w:val="00A867CB"/>
    <w:rsid w:val="00A90C85"/>
    <w:rsid w:val="00A92AD2"/>
    <w:rsid w:val="00AA0BEF"/>
    <w:rsid w:val="00AB25D8"/>
    <w:rsid w:val="00AB2CEB"/>
    <w:rsid w:val="00AB2D04"/>
    <w:rsid w:val="00AB426C"/>
    <w:rsid w:val="00AB523D"/>
    <w:rsid w:val="00AB581C"/>
    <w:rsid w:val="00AC2B7F"/>
    <w:rsid w:val="00AC4D5E"/>
    <w:rsid w:val="00AC4F7D"/>
    <w:rsid w:val="00AC5C7E"/>
    <w:rsid w:val="00AC630E"/>
    <w:rsid w:val="00AC7043"/>
    <w:rsid w:val="00AE2FFD"/>
    <w:rsid w:val="00AF1E97"/>
    <w:rsid w:val="00AF61E6"/>
    <w:rsid w:val="00B01A1E"/>
    <w:rsid w:val="00B02BE1"/>
    <w:rsid w:val="00B02BF2"/>
    <w:rsid w:val="00B07F1E"/>
    <w:rsid w:val="00B11090"/>
    <w:rsid w:val="00B22635"/>
    <w:rsid w:val="00B4123D"/>
    <w:rsid w:val="00B41971"/>
    <w:rsid w:val="00B47408"/>
    <w:rsid w:val="00B53062"/>
    <w:rsid w:val="00B5561B"/>
    <w:rsid w:val="00B56F5A"/>
    <w:rsid w:val="00B6000D"/>
    <w:rsid w:val="00B6351C"/>
    <w:rsid w:val="00B64D58"/>
    <w:rsid w:val="00B651B5"/>
    <w:rsid w:val="00B85112"/>
    <w:rsid w:val="00B92F21"/>
    <w:rsid w:val="00B9549F"/>
    <w:rsid w:val="00BA2272"/>
    <w:rsid w:val="00BA299A"/>
    <w:rsid w:val="00BA7825"/>
    <w:rsid w:val="00BC1CCE"/>
    <w:rsid w:val="00BC4455"/>
    <w:rsid w:val="00BD0470"/>
    <w:rsid w:val="00BD19B3"/>
    <w:rsid w:val="00BD4DD3"/>
    <w:rsid w:val="00BE2927"/>
    <w:rsid w:val="00BE31B4"/>
    <w:rsid w:val="00BE7750"/>
    <w:rsid w:val="00BF11ED"/>
    <w:rsid w:val="00BF3F40"/>
    <w:rsid w:val="00C002F4"/>
    <w:rsid w:val="00C021F9"/>
    <w:rsid w:val="00C02CFC"/>
    <w:rsid w:val="00C05FBE"/>
    <w:rsid w:val="00C10962"/>
    <w:rsid w:val="00C12F51"/>
    <w:rsid w:val="00C27E99"/>
    <w:rsid w:val="00C30F92"/>
    <w:rsid w:val="00C3394C"/>
    <w:rsid w:val="00C43359"/>
    <w:rsid w:val="00C45283"/>
    <w:rsid w:val="00C46930"/>
    <w:rsid w:val="00C61A37"/>
    <w:rsid w:val="00C61CF8"/>
    <w:rsid w:val="00C641B4"/>
    <w:rsid w:val="00C75944"/>
    <w:rsid w:val="00C76B64"/>
    <w:rsid w:val="00C829B9"/>
    <w:rsid w:val="00C92634"/>
    <w:rsid w:val="00C96366"/>
    <w:rsid w:val="00CA6B0B"/>
    <w:rsid w:val="00CB1C7F"/>
    <w:rsid w:val="00CB3C82"/>
    <w:rsid w:val="00CB7716"/>
    <w:rsid w:val="00CC17A0"/>
    <w:rsid w:val="00CC252F"/>
    <w:rsid w:val="00CC3777"/>
    <w:rsid w:val="00CC4F58"/>
    <w:rsid w:val="00CC7B49"/>
    <w:rsid w:val="00CD339B"/>
    <w:rsid w:val="00CD4CAC"/>
    <w:rsid w:val="00CE0269"/>
    <w:rsid w:val="00CE1E38"/>
    <w:rsid w:val="00CE1ECA"/>
    <w:rsid w:val="00CE2279"/>
    <w:rsid w:val="00CF3760"/>
    <w:rsid w:val="00CF689A"/>
    <w:rsid w:val="00D02A66"/>
    <w:rsid w:val="00D03CAF"/>
    <w:rsid w:val="00D077CA"/>
    <w:rsid w:val="00D12659"/>
    <w:rsid w:val="00D12E18"/>
    <w:rsid w:val="00D24760"/>
    <w:rsid w:val="00D30B5D"/>
    <w:rsid w:val="00D33B49"/>
    <w:rsid w:val="00D33F13"/>
    <w:rsid w:val="00D34A3C"/>
    <w:rsid w:val="00D35B5A"/>
    <w:rsid w:val="00D43BC4"/>
    <w:rsid w:val="00D47A51"/>
    <w:rsid w:val="00D47F63"/>
    <w:rsid w:val="00D51436"/>
    <w:rsid w:val="00D54BD6"/>
    <w:rsid w:val="00D7289F"/>
    <w:rsid w:val="00D73B66"/>
    <w:rsid w:val="00D747E7"/>
    <w:rsid w:val="00D75619"/>
    <w:rsid w:val="00D84440"/>
    <w:rsid w:val="00D87E42"/>
    <w:rsid w:val="00D92CDD"/>
    <w:rsid w:val="00D95BE7"/>
    <w:rsid w:val="00D96C4F"/>
    <w:rsid w:val="00DA3849"/>
    <w:rsid w:val="00DA3EAF"/>
    <w:rsid w:val="00DA43E8"/>
    <w:rsid w:val="00DB61E0"/>
    <w:rsid w:val="00DB7307"/>
    <w:rsid w:val="00DC1B36"/>
    <w:rsid w:val="00DC41F2"/>
    <w:rsid w:val="00DD14D1"/>
    <w:rsid w:val="00DD1C2B"/>
    <w:rsid w:val="00DD3437"/>
    <w:rsid w:val="00DD5542"/>
    <w:rsid w:val="00DD6711"/>
    <w:rsid w:val="00DD7750"/>
    <w:rsid w:val="00DE2505"/>
    <w:rsid w:val="00DE2668"/>
    <w:rsid w:val="00DE4A9F"/>
    <w:rsid w:val="00DE7FF7"/>
    <w:rsid w:val="00DF01D7"/>
    <w:rsid w:val="00DF60A9"/>
    <w:rsid w:val="00DF65AF"/>
    <w:rsid w:val="00E01683"/>
    <w:rsid w:val="00E12111"/>
    <w:rsid w:val="00E12FE3"/>
    <w:rsid w:val="00E13028"/>
    <w:rsid w:val="00E14345"/>
    <w:rsid w:val="00E165B7"/>
    <w:rsid w:val="00E23903"/>
    <w:rsid w:val="00E23BD9"/>
    <w:rsid w:val="00E31198"/>
    <w:rsid w:val="00E31B97"/>
    <w:rsid w:val="00E32069"/>
    <w:rsid w:val="00E32EBF"/>
    <w:rsid w:val="00E37624"/>
    <w:rsid w:val="00E378D3"/>
    <w:rsid w:val="00E40C99"/>
    <w:rsid w:val="00E41A8B"/>
    <w:rsid w:val="00E47371"/>
    <w:rsid w:val="00E525CE"/>
    <w:rsid w:val="00E5368F"/>
    <w:rsid w:val="00E57DB3"/>
    <w:rsid w:val="00E61ABA"/>
    <w:rsid w:val="00E624A0"/>
    <w:rsid w:val="00E64443"/>
    <w:rsid w:val="00E64686"/>
    <w:rsid w:val="00E657EF"/>
    <w:rsid w:val="00E65BA0"/>
    <w:rsid w:val="00E673EA"/>
    <w:rsid w:val="00E70C37"/>
    <w:rsid w:val="00E731D5"/>
    <w:rsid w:val="00E76E80"/>
    <w:rsid w:val="00E80D68"/>
    <w:rsid w:val="00E81FA4"/>
    <w:rsid w:val="00E844B8"/>
    <w:rsid w:val="00E90542"/>
    <w:rsid w:val="00E90CFE"/>
    <w:rsid w:val="00E927B7"/>
    <w:rsid w:val="00E9281B"/>
    <w:rsid w:val="00E9296A"/>
    <w:rsid w:val="00E92F47"/>
    <w:rsid w:val="00E9404B"/>
    <w:rsid w:val="00E95B91"/>
    <w:rsid w:val="00E95FB9"/>
    <w:rsid w:val="00EA00B3"/>
    <w:rsid w:val="00EA2388"/>
    <w:rsid w:val="00EA35CE"/>
    <w:rsid w:val="00EA3B92"/>
    <w:rsid w:val="00EA741C"/>
    <w:rsid w:val="00EB5FD7"/>
    <w:rsid w:val="00EC2407"/>
    <w:rsid w:val="00EC2627"/>
    <w:rsid w:val="00ED2371"/>
    <w:rsid w:val="00ED3A70"/>
    <w:rsid w:val="00ED64E8"/>
    <w:rsid w:val="00EE6F93"/>
    <w:rsid w:val="00EF0C6B"/>
    <w:rsid w:val="00EF3E21"/>
    <w:rsid w:val="00EF6DD3"/>
    <w:rsid w:val="00F00195"/>
    <w:rsid w:val="00F0139D"/>
    <w:rsid w:val="00F030F4"/>
    <w:rsid w:val="00F0343B"/>
    <w:rsid w:val="00F11B85"/>
    <w:rsid w:val="00F236F0"/>
    <w:rsid w:val="00F264BC"/>
    <w:rsid w:val="00F269E1"/>
    <w:rsid w:val="00F27D3B"/>
    <w:rsid w:val="00F30B03"/>
    <w:rsid w:val="00F33B4A"/>
    <w:rsid w:val="00F35529"/>
    <w:rsid w:val="00F429F4"/>
    <w:rsid w:val="00F42FEA"/>
    <w:rsid w:val="00F4467E"/>
    <w:rsid w:val="00F507C1"/>
    <w:rsid w:val="00F53F38"/>
    <w:rsid w:val="00F5611E"/>
    <w:rsid w:val="00F56927"/>
    <w:rsid w:val="00F66F8B"/>
    <w:rsid w:val="00F67196"/>
    <w:rsid w:val="00F715F1"/>
    <w:rsid w:val="00F80F3F"/>
    <w:rsid w:val="00F83BF2"/>
    <w:rsid w:val="00F911FE"/>
    <w:rsid w:val="00F920C1"/>
    <w:rsid w:val="00F936FE"/>
    <w:rsid w:val="00FA1636"/>
    <w:rsid w:val="00FA1925"/>
    <w:rsid w:val="00FC48B6"/>
    <w:rsid w:val="00FC7A16"/>
    <w:rsid w:val="00FD048A"/>
    <w:rsid w:val="00FD5154"/>
    <w:rsid w:val="00FD5F1F"/>
    <w:rsid w:val="00FE10BB"/>
    <w:rsid w:val="00FF39E6"/>
    <w:rsid w:val="00FF3BCE"/>
    <w:rsid w:val="00FF7E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383EA2"/>
  <w15:docId w15:val="{D3953851-62DC-406F-AB0B-3983498B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911FE"/>
  </w:style>
  <w:style w:type="paragraph" w:styleId="Titolo1">
    <w:name w:val="heading 1"/>
    <w:basedOn w:val="Normale"/>
    <w:next w:val="Normale"/>
    <w:qFormat/>
    <w:rsid w:val="00F911FE"/>
    <w:pPr>
      <w:keepNext/>
      <w:jc w:val="center"/>
      <w:outlineLvl w:val="0"/>
    </w:pPr>
    <w:rPr>
      <w:b/>
      <w:sz w:val="28"/>
    </w:rPr>
  </w:style>
  <w:style w:type="paragraph" w:styleId="Titolo2">
    <w:name w:val="heading 2"/>
    <w:basedOn w:val="Normale"/>
    <w:next w:val="Normale"/>
    <w:qFormat/>
    <w:rsid w:val="00F911FE"/>
    <w:pPr>
      <w:keepNext/>
      <w:jc w:val="center"/>
      <w:outlineLvl w:val="1"/>
    </w:pPr>
    <w:rPr>
      <w:sz w:val="28"/>
    </w:rPr>
  </w:style>
  <w:style w:type="paragraph" w:styleId="Titolo3">
    <w:name w:val="heading 3"/>
    <w:basedOn w:val="Normale"/>
    <w:next w:val="Normale"/>
    <w:qFormat/>
    <w:rsid w:val="00F911FE"/>
    <w:pPr>
      <w:keepNext/>
      <w:jc w:val="both"/>
      <w:outlineLvl w:val="2"/>
    </w:pPr>
    <w:rPr>
      <w:sz w:val="28"/>
    </w:rPr>
  </w:style>
  <w:style w:type="paragraph" w:styleId="Titolo4">
    <w:name w:val="heading 4"/>
    <w:basedOn w:val="Normale"/>
    <w:next w:val="Normale"/>
    <w:qFormat/>
    <w:rsid w:val="00F911FE"/>
    <w:pPr>
      <w:keepNext/>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F911FE"/>
    <w:pPr>
      <w:jc w:val="center"/>
    </w:pPr>
    <w:rPr>
      <w:sz w:val="36"/>
    </w:rPr>
  </w:style>
  <w:style w:type="paragraph" w:customStyle="1" w:styleId="Corpodeltesto1">
    <w:name w:val="Corpo del testo1"/>
    <w:basedOn w:val="Normale"/>
    <w:link w:val="CorpotestoCarattere"/>
    <w:rsid w:val="00F911FE"/>
    <w:pPr>
      <w:jc w:val="both"/>
    </w:pPr>
    <w:rPr>
      <w:sz w:val="24"/>
    </w:rPr>
  </w:style>
  <w:style w:type="paragraph" w:styleId="Intestazione">
    <w:name w:val="header"/>
    <w:basedOn w:val="Normale"/>
    <w:link w:val="IntestazioneCarattere"/>
    <w:uiPriority w:val="99"/>
    <w:rsid w:val="00462AEC"/>
    <w:pPr>
      <w:tabs>
        <w:tab w:val="center" w:pos="4819"/>
        <w:tab w:val="right" w:pos="9638"/>
      </w:tabs>
    </w:pPr>
  </w:style>
  <w:style w:type="paragraph" w:styleId="Pidipagina">
    <w:name w:val="footer"/>
    <w:basedOn w:val="Normale"/>
    <w:rsid w:val="00462AEC"/>
    <w:pPr>
      <w:tabs>
        <w:tab w:val="center" w:pos="4819"/>
        <w:tab w:val="right" w:pos="9638"/>
      </w:tabs>
    </w:pPr>
  </w:style>
  <w:style w:type="paragraph" w:styleId="Testofumetto">
    <w:name w:val="Balloon Text"/>
    <w:basedOn w:val="Normale"/>
    <w:semiHidden/>
    <w:rsid w:val="00D47F63"/>
    <w:rPr>
      <w:rFonts w:ascii="Tahoma" w:hAnsi="Tahoma" w:cs="Tahoma"/>
      <w:sz w:val="16"/>
      <w:szCs w:val="16"/>
    </w:rPr>
  </w:style>
  <w:style w:type="paragraph" w:styleId="Rientrocorpodeltesto">
    <w:name w:val="Body Text Indent"/>
    <w:basedOn w:val="Normale"/>
    <w:link w:val="RientrocorpodeltestoCarattere"/>
    <w:rsid w:val="00953185"/>
    <w:pPr>
      <w:spacing w:after="120"/>
      <w:ind w:left="283"/>
    </w:pPr>
  </w:style>
  <w:style w:type="character" w:customStyle="1" w:styleId="RientrocorpodeltestoCarattere">
    <w:name w:val="Rientro corpo del testo Carattere"/>
    <w:basedOn w:val="Carpredefinitoparagrafo"/>
    <w:link w:val="Rientrocorpodeltesto"/>
    <w:rsid w:val="00953185"/>
  </w:style>
  <w:style w:type="table" w:styleId="Grigliatabella">
    <w:name w:val="Table Grid"/>
    <w:basedOn w:val="Tabellanormale"/>
    <w:rsid w:val="00AF1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593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eformattatoHTMLCarattere">
    <w:name w:val="Preformattato HTML Carattere"/>
    <w:link w:val="PreformattatoHTML"/>
    <w:uiPriority w:val="99"/>
    <w:rsid w:val="00593CEE"/>
    <w:rPr>
      <w:rFonts w:ascii="Courier New" w:hAnsi="Courier New" w:cs="Courier New"/>
    </w:rPr>
  </w:style>
  <w:style w:type="paragraph" w:styleId="Paragrafoelenco">
    <w:name w:val="List Paragraph"/>
    <w:basedOn w:val="Normale"/>
    <w:uiPriority w:val="34"/>
    <w:qFormat/>
    <w:rsid w:val="0091292A"/>
    <w:pPr>
      <w:ind w:left="720"/>
      <w:contextualSpacing/>
    </w:pPr>
    <w:rPr>
      <w:sz w:val="24"/>
      <w:szCs w:val="24"/>
    </w:rPr>
  </w:style>
  <w:style w:type="character" w:customStyle="1" w:styleId="IntestazioneCarattere">
    <w:name w:val="Intestazione Carattere"/>
    <w:link w:val="Intestazione"/>
    <w:uiPriority w:val="99"/>
    <w:rsid w:val="00E32EBF"/>
  </w:style>
  <w:style w:type="paragraph" w:customStyle="1" w:styleId="Default">
    <w:name w:val="Default"/>
    <w:rsid w:val="00725679"/>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725679"/>
    <w:rPr>
      <w:rFonts w:cs="Times New Roman"/>
      <w:color w:val="auto"/>
    </w:rPr>
  </w:style>
  <w:style w:type="paragraph" w:customStyle="1" w:styleId="CM3">
    <w:name w:val="CM3"/>
    <w:basedOn w:val="Default"/>
    <w:next w:val="Default"/>
    <w:uiPriority w:val="99"/>
    <w:rsid w:val="00725679"/>
    <w:rPr>
      <w:rFonts w:cs="Times New Roman"/>
      <w:color w:val="auto"/>
    </w:rPr>
  </w:style>
  <w:style w:type="paragraph" w:customStyle="1" w:styleId="CM4">
    <w:name w:val="CM4"/>
    <w:basedOn w:val="Default"/>
    <w:next w:val="Default"/>
    <w:uiPriority w:val="99"/>
    <w:rsid w:val="009C1E60"/>
    <w:rPr>
      <w:rFonts w:cs="Times New Roman"/>
      <w:color w:val="auto"/>
    </w:rPr>
  </w:style>
  <w:style w:type="character" w:customStyle="1" w:styleId="CorpotestoCarattere">
    <w:name w:val="Corpo testo Carattere"/>
    <w:link w:val="Corpodeltesto1"/>
    <w:rsid w:val="0044101D"/>
    <w:rPr>
      <w:sz w:val="24"/>
    </w:rPr>
  </w:style>
  <w:style w:type="character" w:customStyle="1" w:styleId="anchorantimarker">
    <w:name w:val="anchor_anti_marker"/>
    <w:rsid w:val="00F5611E"/>
    <w:rPr>
      <w:color w:val="000000"/>
    </w:rPr>
  </w:style>
  <w:style w:type="character" w:customStyle="1" w:styleId="linkneltesto">
    <w:name w:val="link_nel_testo"/>
    <w:rsid w:val="00F5611E"/>
    <w:rPr>
      <w:i/>
      <w:iCs/>
    </w:rPr>
  </w:style>
  <w:style w:type="character" w:styleId="Rimandocommento">
    <w:name w:val="annotation reference"/>
    <w:rsid w:val="00022424"/>
    <w:rPr>
      <w:sz w:val="16"/>
      <w:szCs w:val="16"/>
    </w:rPr>
  </w:style>
  <w:style w:type="paragraph" w:styleId="Testocommento">
    <w:name w:val="annotation text"/>
    <w:basedOn w:val="Normale"/>
    <w:link w:val="TestocommentoCarattere"/>
    <w:rsid w:val="00022424"/>
  </w:style>
  <w:style w:type="character" w:customStyle="1" w:styleId="TestocommentoCarattere">
    <w:name w:val="Testo commento Carattere"/>
    <w:basedOn w:val="Carpredefinitoparagrafo"/>
    <w:link w:val="Testocommento"/>
    <w:rsid w:val="00022424"/>
  </w:style>
  <w:style w:type="paragraph" w:styleId="Soggettocommento">
    <w:name w:val="annotation subject"/>
    <w:basedOn w:val="Testocommento"/>
    <w:next w:val="Testocommento"/>
    <w:link w:val="SoggettocommentoCarattere"/>
    <w:rsid w:val="00022424"/>
    <w:rPr>
      <w:b/>
      <w:bCs/>
    </w:rPr>
  </w:style>
  <w:style w:type="character" w:customStyle="1" w:styleId="SoggettocommentoCarattere">
    <w:name w:val="Soggetto commento Carattere"/>
    <w:link w:val="Soggettocommento"/>
    <w:rsid w:val="00022424"/>
    <w:rPr>
      <w:b/>
      <w:bCs/>
    </w:rPr>
  </w:style>
  <w:style w:type="character" w:styleId="Collegamentoipertestuale">
    <w:name w:val="Hyperlink"/>
    <w:rsid w:val="009E3F4B"/>
    <w:rPr>
      <w:color w:val="0000FF"/>
      <w:u w:val="single"/>
    </w:rPr>
  </w:style>
  <w:style w:type="paragraph" w:customStyle="1" w:styleId="articolo">
    <w:name w:val="articolo"/>
    <w:basedOn w:val="Normale"/>
    <w:qFormat/>
    <w:rsid w:val="009909DD"/>
    <w:pPr>
      <w:spacing w:after="120"/>
      <w:ind w:firstLine="284"/>
      <w:jc w:val="both"/>
    </w:pPr>
    <w:rPr>
      <w:sz w:val="24"/>
    </w:rPr>
  </w:style>
  <w:style w:type="paragraph" w:styleId="Testonotaapidipagina">
    <w:name w:val="footnote text"/>
    <w:basedOn w:val="Normale"/>
    <w:link w:val="TestonotaapidipaginaCarattere"/>
    <w:rsid w:val="00A84E42"/>
  </w:style>
  <w:style w:type="character" w:customStyle="1" w:styleId="TestonotaapidipaginaCarattere">
    <w:name w:val="Testo nota a piè di pagina Carattere"/>
    <w:basedOn w:val="Carpredefinitoparagrafo"/>
    <w:link w:val="Testonotaapidipagina"/>
    <w:rsid w:val="00A84E42"/>
  </w:style>
  <w:style w:type="character" w:styleId="Rimandonotaapidipagina">
    <w:name w:val="footnote reference"/>
    <w:rsid w:val="00A84E42"/>
    <w:rPr>
      <w:vertAlign w:val="superscript"/>
    </w:rPr>
  </w:style>
  <w:style w:type="paragraph" w:customStyle="1" w:styleId="art">
    <w:name w:val="art"/>
    <w:basedOn w:val="Normale"/>
    <w:qFormat/>
    <w:rsid w:val="004E2329"/>
    <w:pPr>
      <w:spacing w:before="240" w:after="120"/>
      <w:jc w:val="center"/>
    </w:pPr>
    <w:rPr>
      <w:sz w:val="24"/>
    </w:rPr>
  </w:style>
  <w:style w:type="table" w:styleId="Tabellaconombreggiatura1">
    <w:name w:val="Table Subtle 1"/>
    <w:basedOn w:val="Tabellanormale"/>
    <w:rsid w:val="00CA6B0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inemodulo-z">
    <w:name w:val="HTML Bottom of Form"/>
    <w:basedOn w:val="Normale"/>
    <w:next w:val="Normale"/>
    <w:link w:val="Finemodulo-zCarattere"/>
    <w:hidden/>
    <w:uiPriority w:val="99"/>
    <w:unhideWhenUsed/>
    <w:rsid w:val="0078379F"/>
    <w:pPr>
      <w:pBdr>
        <w:top w:val="single" w:sz="6" w:space="1" w:color="auto"/>
      </w:pBdr>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rsid w:val="0078379F"/>
    <w:rPr>
      <w:rFonts w:ascii="Arial" w:hAnsi="Arial" w:cs="Arial"/>
      <w:vanish/>
      <w:sz w:val="16"/>
      <w:szCs w:val="16"/>
    </w:rPr>
  </w:style>
  <w:style w:type="paragraph" w:styleId="Corpotesto">
    <w:name w:val="Body Text"/>
    <w:basedOn w:val="Normale"/>
    <w:link w:val="CorpotestoCarattere1"/>
    <w:semiHidden/>
    <w:unhideWhenUsed/>
    <w:rsid w:val="001615B2"/>
    <w:pPr>
      <w:spacing w:after="120"/>
    </w:pPr>
  </w:style>
  <w:style w:type="character" w:customStyle="1" w:styleId="CorpotestoCarattere1">
    <w:name w:val="Corpo testo Carattere1"/>
    <w:basedOn w:val="Carpredefinitoparagrafo"/>
    <w:link w:val="Corpotesto"/>
    <w:semiHidden/>
    <w:rsid w:val="001615B2"/>
  </w:style>
  <w:style w:type="paragraph" w:styleId="Revisione">
    <w:name w:val="Revision"/>
    <w:hidden/>
    <w:uiPriority w:val="99"/>
    <w:semiHidden/>
    <w:rsid w:val="00F23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1846">
      <w:bodyDiv w:val="1"/>
      <w:marLeft w:val="0"/>
      <w:marRight w:val="0"/>
      <w:marTop w:val="0"/>
      <w:marBottom w:val="0"/>
      <w:divBdr>
        <w:top w:val="none" w:sz="0" w:space="0" w:color="auto"/>
        <w:left w:val="none" w:sz="0" w:space="0" w:color="auto"/>
        <w:bottom w:val="none" w:sz="0" w:space="0" w:color="auto"/>
        <w:right w:val="none" w:sz="0" w:space="0" w:color="auto"/>
      </w:divBdr>
    </w:div>
    <w:div w:id="91753946">
      <w:bodyDiv w:val="1"/>
      <w:marLeft w:val="0"/>
      <w:marRight w:val="0"/>
      <w:marTop w:val="0"/>
      <w:marBottom w:val="0"/>
      <w:divBdr>
        <w:top w:val="none" w:sz="0" w:space="0" w:color="auto"/>
        <w:left w:val="none" w:sz="0" w:space="0" w:color="auto"/>
        <w:bottom w:val="none" w:sz="0" w:space="0" w:color="auto"/>
        <w:right w:val="none" w:sz="0" w:space="0" w:color="auto"/>
      </w:divBdr>
    </w:div>
    <w:div w:id="128859043">
      <w:bodyDiv w:val="1"/>
      <w:marLeft w:val="0"/>
      <w:marRight w:val="0"/>
      <w:marTop w:val="0"/>
      <w:marBottom w:val="0"/>
      <w:divBdr>
        <w:top w:val="none" w:sz="0" w:space="0" w:color="auto"/>
        <w:left w:val="none" w:sz="0" w:space="0" w:color="auto"/>
        <w:bottom w:val="none" w:sz="0" w:space="0" w:color="auto"/>
        <w:right w:val="none" w:sz="0" w:space="0" w:color="auto"/>
      </w:divBdr>
    </w:div>
    <w:div w:id="403186512">
      <w:bodyDiv w:val="1"/>
      <w:marLeft w:val="0"/>
      <w:marRight w:val="0"/>
      <w:marTop w:val="0"/>
      <w:marBottom w:val="0"/>
      <w:divBdr>
        <w:top w:val="none" w:sz="0" w:space="0" w:color="auto"/>
        <w:left w:val="none" w:sz="0" w:space="0" w:color="auto"/>
        <w:bottom w:val="none" w:sz="0" w:space="0" w:color="auto"/>
        <w:right w:val="none" w:sz="0" w:space="0" w:color="auto"/>
      </w:divBdr>
    </w:div>
    <w:div w:id="582763543">
      <w:bodyDiv w:val="1"/>
      <w:marLeft w:val="0"/>
      <w:marRight w:val="0"/>
      <w:marTop w:val="0"/>
      <w:marBottom w:val="0"/>
      <w:divBdr>
        <w:top w:val="none" w:sz="0" w:space="0" w:color="auto"/>
        <w:left w:val="none" w:sz="0" w:space="0" w:color="auto"/>
        <w:bottom w:val="none" w:sz="0" w:space="0" w:color="auto"/>
        <w:right w:val="none" w:sz="0" w:space="0" w:color="auto"/>
      </w:divBdr>
    </w:div>
    <w:div w:id="1467435601">
      <w:bodyDiv w:val="1"/>
      <w:marLeft w:val="0"/>
      <w:marRight w:val="0"/>
      <w:marTop w:val="0"/>
      <w:marBottom w:val="0"/>
      <w:divBdr>
        <w:top w:val="none" w:sz="0" w:space="0" w:color="auto"/>
        <w:left w:val="none" w:sz="0" w:space="0" w:color="auto"/>
        <w:bottom w:val="none" w:sz="0" w:space="0" w:color="auto"/>
        <w:right w:val="none" w:sz="0" w:space="0" w:color="auto"/>
      </w:divBdr>
    </w:div>
    <w:div w:id="149044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c8d3b0-c20b-483f-9fc2-f037e9933da8">
      <Terms xmlns="http://schemas.microsoft.com/office/infopath/2007/PartnerControls"/>
    </lcf76f155ced4ddcb4097134ff3c332f>
    <TaxCatchAll xmlns="25d6926f-ec06-4236-8a5d-3ad17220b5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F16424449CBDD40AFEC2B556FC1F80C" ma:contentTypeVersion="15" ma:contentTypeDescription="Creare un nuovo documento." ma:contentTypeScope="" ma:versionID="8ab6ec3099f49883cb7fea1b308ce394">
  <xsd:schema xmlns:xsd="http://www.w3.org/2001/XMLSchema" xmlns:xs="http://www.w3.org/2001/XMLSchema" xmlns:p="http://schemas.microsoft.com/office/2006/metadata/properties" xmlns:ns2="0ac8d3b0-c20b-483f-9fc2-f037e9933da8" xmlns:ns3="25d6926f-ec06-4236-8a5d-3ad17220b55f" targetNamespace="http://schemas.microsoft.com/office/2006/metadata/properties" ma:root="true" ma:fieldsID="cc45caaed303bade1f230d6e6627219a" ns2:_="" ns3:_="">
    <xsd:import namespace="0ac8d3b0-c20b-483f-9fc2-f037e9933da8"/>
    <xsd:import namespace="25d6926f-ec06-4236-8a5d-3ad17220b5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d3b0-c20b-483f-9fc2-f037e9933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9edcb4e-695d-46ce-823c-81d31cfd4be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d6926f-ec06-4236-8a5d-3ad17220b5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85ee22-71ff-417a-a6d2-8e54bba53dd0}" ma:internalName="TaxCatchAll" ma:showField="CatchAllData" ma:web="25d6926f-ec06-4236-8a5d-3ad17220b5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6632D-6342-49B6-9470-BE9A9DB3839B}">
  <ds:schemaRefs>
    <ds:schemaRef ds:uri="http://schemas.microsoft.com/sharepoint/v3/contenttype/forms"/>
  </ds:schemaRefs>
</ds:datastoreItem>
</file>

<file path=customXml/itemProps2.xml><?xml version="1.0" encoding="utf-8"?>
<ds:datastoreItem xmlns:ds="http://schemas.openxmlformats.org/officeDocument/2006/customXml" ds:itemID="{62DC9641-40DC-4210-9382-332088A69FF1}">
  <ds:schemaRefs>
    <ds:schemaRef ds:uri="http://schemas.openxmlformats.org/officeDocument/2006/bibliography"/>
  </ds:schemaRefs>
</ds:datastoreItem>
</file>

<file path=customXml/itemProps3.xml><?xml version="1.0" encoding="utf-8"?>
<ds:datastoreItem xmlns:ds="http://schemas.openxmlformats.org/officeDocument/2006/customXml" ds:itemID="{5D7294AF-D347-4FEB-B49D-AE09ADD991B7}">
  <ds:schemaRefs>
    <ds:schemaRef ds:uri="http://schemas.microsoft.com/office/2006/metadata/properties"/>
    <ds:schemaRef ds:uri="http://schemas.microsoft.com/office/infopath/2007/PartnerControls"/>
    <ds:schemaRef ds:uri="0ac8d3b0-c20b-483f-9fc2-f037e9933da8"/>
    <ds:schemaRef ds:uri="25d6926f-ec06-4236-8a5d-3ad17220b55f"/>
  </ds:schemaRefs>
</ds:datastoreItem>
</file>

<file path=customXml/itemProps4.xml><?xml version="1.0" encoding="utf-8"?>
<ds:datastoreItem xmlns:ds="http://schemas.openxmlformats.org/officeDocument/2006/customXml" ds:itemID="{7EEC07F4-E60A-4F53-86DF-3C0C8301E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d3b0-c20b-483f-9fc2-f037e9933da8"/>
    <ds:schemaRef ds:uri="25d6926f-ec06-4236-8a5d-3ad17220b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1631</Words>
  <Characters>9505</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SCHEMA DI DECRETO</vt:lpstr>
    </vt:vector>
  </TitlesOfParts>
  <Company>AD</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DECRETO</dc:title>
  <dc:subject/>
  <dc:creator>Alati Giuseppe</dc:creator>
  <cp:keywords/>
  <dc:description/>
  <cp:lastModifiedBy>Griglio Elena</cp:lastModifiedBy>
  <cp:revision>1</cp:revision>
  <cp:lastPrinted>2022-09-07T11:16:00Z</cp:lastPrinted>
  <dcterms:created xsi:type="dcterms:W3CDTF">2025-02-06T11:33:00Z</dcterms:created>
  <dcterms:modified xsi:type="dcterms:W3CDTF">2025-02-07T13:35:00Z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0x0101004F16424449CBDD40AFEC2B556FC1F80C</vt:lpwstr>
  </property>
</Properties>
</file>